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38623F47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286EC4">
        <w:t>CAPD peritonitis, fluid overload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14:paraId="3BE4093C" w14:textId="073DF4C8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3BDC669" w14:textId="7E6F085A" w:rsidR="000D0770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EC31D2">
        <w:t xml:space="preserve">32 </w:t>
      </w:r>
      <w:proofErr w:type="spellStart"/>
      <w:r w:rsidR="00286EC4">
        <w:t>yo</w:t>
      </w:r>
      <w:proofErr w:type="spellEnd"/>
      <w:r w:rsidR="007A09F6" w:rsidRPr="00F15487">
        <w:t xml:space="preserve"> </w:t>
      </w:r>
      <w:r w:rsidR="00286EC4">
        <w:t>fe</w:t>
      </w:r>
      <w:r w:rsidR="007A09F6" w:rsidRPr="00F15487">
        <w:t xml:space="preserve">male, </w:t>
      </w:r>
      <w:r w:rsidR="00286EC4">
        <w:t xml:space="preserve">dialyses </w:t>
      </w:r>
      <w:r w:rsidR="00DC0B93">
        <w:t>by</w:t>
      </w:r>
      <w:r w:rsidR="00286EC4">
        <w:t xml:space="preserve"> CAPD</w:t>
      </w:r>
      <w:r w:rsidR="00F42D96">
        <w:t xml:space="preserve"> at home</w:t>
      </w:r>
      <w:r w:rsidR="00286EC4">
        <w:t>, recent formation of AV fistula (not yet used)</w:t>
      </w:r>
      <w:r w:rsidR="007A09F6">
        <w:t xml:space="preserve">, </w:t>
      </w:r>
      <w:r w:rsidR="00286EC4">
        <w:t>non-compliance with fluid restriction</w:t>
      </w:r>
      <w:r w:rsidR="00DC0B93">
        <w:t xml:space="preserve">.  </w:t>
      </w:r>
      <w:r w:rsidR="00286EC4">
        <w:t>Presents with</w:t>
      </w:r>
      <w:r w:rsidR="00DC0B93">
        <w:t xml:space="preserve">, SOB </w:t>
      </w:r>
      <w:r w:rsidR="00EC31D2">
        <w:t xml:space="preserve">abdominal pain </w:t>
      </w:r>
      <w:r w:rsidR="00DC0B93">
        <w:t xml:space="preserve">and </w:t>
      </w:r>
      <w:r w:rsidR="00286EC4">
        <w:t>cloudy dialysate</w:t>
      </w:r>
      <w:r w:rsidR="00DC0B93">
        <w:t>;</w:t>
      </w:r>
      <w:r w:rsidR="00286EC4">
        <w:t xml:space="preserve"> </w:t>
      </w:r>
      <w:r w:rsidR="00EC31D2">
        <w:t>mild</w:t>
      </w:r>
      <w:r w:rsidR="00286EC4">
        <w:t xml:space="preserve"> APO </w:t>
      </w:r>
      <w:r w:rsidR="00EC31D2">
        <w:t xml:space="preserve">not </w:t>
      </w:r>
      <w:r w:rsidR="00286EC4">
        <w:t>requiring NIV</w:t>
      </w:r>
      <w:r w:rsidR="00DC0B93">
        <w:t>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5F795525" w:rsidR="00A03C4F" w:rsidRPr="00A03C4F" w:rsidRDefault="00A03C4F" w:rsidP="00734CC4">
      <w:pPr>
        <w:shd w:val="clear" w:color="auto" w:fill="C6D9F1" w:themeFill="text2" w:themeFillTint="33"/>
        <w:spacing w:line="276" w:lineRule="auto"/>
      </w:pPr>
      <w:r w:rsidRPr="00A03C4F">
        <w:t>Team work/Communication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76F9CEF4" w14:textId="1E06FDE5" w:rsidR="00A308AB" w:rsidRDefault="00286EC4" w:rsidP="00734CC4">
      <w:pPr>
        <w:shd w:val="clear" w:color="auto" w:fill="C6D9F1" w:themeFill="text2" w:themeFillTint="33"/>
        <w:spacing w:line="276" w:lineRule="auto"/>
      </w:pPr>
      <w:r>
        <w:t xml:space="preserve">Suspect CAPD peritonitis from </w:t>
      </w:r>
      <w:r w:rsidR="00EC31D2">
        <w:t xml:space="preserve">symptoms and </w:t>
      </w:r>
      <w:r>
        <w:t>turbid dialysate and commence appropriate management</w:t>
      </w:r>
    </w:p>
    <w:p w14:paraId="59CF65F9" w14:textId="34FF5545" w:rsidR="00286EC4" w:rsidRDefault="00DC0B93" w:rsidP="00734CC4">
      <w:pPr>
        <w:shd w:val="clear" w:color="auto" w:fill="C6D9F1" w:themeFill="text2" w:themeFillTint="33"/>
        <w:spacing w:line="276" w:lineRule="auto"/>
      </w:pPr>
      <w:r>
        <w:t>General assessment principles of patients with chronic renal failure</w:t>
      </w:r>
      <w:r w:rsidR="00715BA9">
        <w:t xml:space="preserve"> (fluid status, metabolic/K+, fistula + vascular access/</w:t>
      </w:r>
      <w:proofErr w:type="spellStart"/>
      <w:r w:rsidR="00715BA9">
        <w:t>Tenckhoff</w:t>
      </w:r>
      <w:proofErr w:type="spellEnd"/>
      <w:r w:rsidR="00715BA9">
        <w:t xml:space="preserve"> site integrity)</w:t>
      </w:r>
    </w:p>
    <w:p w14:paraId="7652A593" w14:textId="1298299A" w:rsidR="00441120" w:rsidRPr="00A03C4F" w:rsidRDefault="002970CC">
      <w:pPr>
        <w:shd w:val="clear" w:color="auto" w:fill="C6D9F1" w:themeFill="text2" w:themeFillTint="33"/>
        <w:spacing w:line="276" w:lineRule="auto"/>
      </w:pPr>
      <w:r>
        <w:t>A</w:t>
      </w:r>
      <w:r>
        <w:t>voidan</w:t>
      </w:r>
      <w:r>
        <w:t xml:space="preserve">ce of cephalic vein cannulation and </w:t>
      </w:r>
      <w:bookmarkStart w:id="0" w:name="_GoBack"/>
      <w:bookmarkEnd w:id="0"/>
      <w:r>
        <w:t>BP on fistula arm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71065E87" w14:textId="29B671FE" w:rsidR="00F63E3B" w:rsidRDefault="00F63E3B" w:rsidP="00F63E3B">
      <w:pPr>
        <w:shd w:val="clear" w:color="auto" w:fill="C6D9F1" w:themeFill="text2" w:themeFillTint="33"/>
        <w:spacing w:line="276" w:lineRule="auto"/>
      </w:pPr>
      <w:r>
        <w:t>3G sim man + Monitor</w:t>
      </w:r>
      <w:r w:rsidR="00EC31D2">
        <w:t xml:space="preserve"> + CAPD simulation vest</w:t>
      </w:r>
    </w:p>
    <w:p w14:paraId="1911C21A" w14:textId="45CF2688" w:rsidR="00BB1278" w:rsidRDefault="00286EC4" w:rsidP="00734CC4">
      <w:pPr>
        <w:shd w:val="clear" w:color="auto" w:fill="C6D9F1" w:themeFill="text2" w:themeFillTint="33"/>
        <w:spacing w:line="276" w:lineRule="auto"/>
      </w:pPr>
      <w:r>
        <w:t>IV access and blood collection</w:t>
      </w:r>
      <w:r w:rsidR="007D1A55">
        <w:t xml:space="preserve">, </w:t>
      </w:r>
      <w:proofErr w:type="spellStart"/>
      <w:r w:rsidR="007D1A55">
        <w:t>Vacutainer</w:t>
      </w:r>
      <w:proofErr w:type="spellEnd"/>
      <w:r w:rsidR="007D1A55">
        <w:t xml:space="preserve"> and 50 ml syringe</w:t>
      </w:r>
    </w:p>
    <w:p w14:paraId="40426B03" w14:textId="1865FCA5" w:rsidR="006F4365" w:rsidRDefault="006F4365" w:rsidP="00734CC4">
      <w:pPr>
        <w:shd w:val="clear" w:color="auto" w:fill="C6D9F1" w:themeFill="text2" w:themeFillTint="33"/>
        <w:spacing w:line="276" w:lineRule="auto"/>
      </w:pPr>
      <w:r>
        <w:t>Culture s</w:t>
      </w:r>
      <w:r w:rsidR="00280E21">
        <w:t>pecimens (</w:t>
      </w:r>
      <w:r w:rsidR="00286EC4">
        <w:t>dialysate fluid</w:t>
      </w:r>
      <w:r w:rsidR="007D1A55">
        <w:t xml:space="preserve"> into 2BC bottles, EDTA tube and red top micro container)</w:t>
      </w:r>
      <w:r>
        <w:t>)</w:t>
      </w:r>
    </w:p>
    <w:p w14:paraId="15191DA3" w14:textId="1504821E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B1278">
        <w:t>Resus Trolley</w:t>
      </w:r>
    </w:p>
    <w:p w14:paraId="32388F1C" w14:textId="77777777" w:rsidR="00DC0B93" w:rsidRDefault="00DC0B93" w:rsidP="00734CC4">
      <w:pPr>
        <w:shd w:val="clear" w:color="auto" w:fill="C6D9F1" w:themeFill="text2" w:themeFillTint="33"/>
        <w:spacing w:line="276" w:lineRule="auto"/>
      </w:pPr>
      <w:proofErr w:type="gramStart"/>
      <w:r>
        <w:t>Dialysate bag (empty and new).</w:t>
      </w:r>
      <w:proofErr w:type="gramEnd"/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11AC5FA5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DC0B93">
        <w:t xml:space="preserve">Normal saline, </w:t>
      </w:r>
      <w:r w:rsidR="009A7C7C">
        <w:t xml:space="preserve">empty dialysate drainage bag and </w:t>
      </w:r>
      <w:r w:rsidR="00DC0B93">
        <w:t xml:space="preserve">new dialysate </w:t>
      </w:r>
      <w:r w:rsidR="009A7C7C">
        <w:t xml:space="preserve">fluid </w:t>
      </w:r>
      <w:r w:rsidR="00DC0B93">
        <w:t>bag</w:t>
      </w:r>
    </w:p>
    <w:p w14:paraId="7E585101" w14:textId="46349415" w:rsidR="00280E21" w:rsidRDefault="007D1A55" w:rsidP="00734CC4">
      <w:pPr>
        <w:shd w:val="clear" w:color="auto" w:fill="C6D9F1" w:themeFill="text2" w:themeFillTint="33"/>
        <w:spacing w:line="276" w:lineRule="auto"/>
      </w:pPr>
      <w:proofErr w:type="spellStart"/>
      <w:r>
        <w:t>Cefazolin</w:t>
      </w:r>
      <w:proofErr w:type="spellEnd"/>
      <w:r>
        <w:t xml:space="preserve"> 2x1g vials, </w:t>
      </w:r>
      <w:proofErr w:type="spellStart"/>
      <w:r>
        <w:t>ceftazidime</w:t>
      </w:r>
      <w:proofErr w:type="spellEnd"/>
      <w:r>
        <w:t xml:space="preserve"> 2x 1g vials, heparin </w:t>
      </w:r>
      <w:r w:rsidR="009A7C7C">
        <w:t>3x1000</w:t>
      </w:r>
      <w:r>
        <w:t>U</w:t>
      </w:r>
      <w:r w:rsidR="009A7C7C">
        <w:t xml:space="preserve"> vials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5CA4F9E4" w:rsidR="00BB1278" w:rsidRDefault="00BB1278" w:rsidP="00734CC4">
      <w:pPr>
        <w:shd w:val="clear" w:color="auto" w:fill="C6D9F1" w:themeFill="text2" w:themeFillTint="33"/>
      </w:pPr>
      <w:r>
        <w:t>Triage Form and Obs chart</w:t>
      </w:r>
    </w:p>
    <w:p w14:paraId="29405B97" w14:textId="7BAC86E4" w:rsidR="00F15487" w:rsidRPr="00F15487" w:rsidRDefault="007D1A55" w:rsidP="00F15487">
      <w:pPr>
        <w:shd w:val="clear" w:color="auto" w:fill="C6D9F1" w:themeFill="text2" w:themeFillTint="33"/>
      </w:pPr>
      <w:r>
        <w:t>“Peritonitis identification for Adult PD Patients”</w:t>
      </w:r>
      <w:r w:rsidR="00441120">
        <w:t xml:space="preserve"> Protocol (only</w:t>
      </w:r>
      <w:r w:rsidR="00CD24DE">
        <w:t xml:space="preserve"> if specifically asked for</w:t>
      </w:r>
      <w:r w:rsidR="00441120">
        <w:t>)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23B1C6D3" w14:textId="4B38B501" w:rsidR="00BB1278" w:rsidRDefault="00BB1278" w:rsidP="00734CC4">
      <w:pPr>
        <w:shd w:val="clear" w:color="auto" w:fill="C6D9F1" w:themeFill="text2" w:themeFillTint="33"/>
        <w:spacing w:line="276" w:lineRule="auto"/>
      </w:pPr>
      <w:r>
        <w:t>ECG – Sinus Tachycardia</w:t>
      </w:r>
    </w:p>
    <w:p w14:paraId="31314BE1" w14:textId="0D67A751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7D1A55">
        <w:t>Mild interstitial oedema</w:t>
      </w:r>
      <w:r w:rsidR="009576A6">
        <w:t xml:space="preserve"> (Synapse)</w:t>
      </w:r>
    </w:p>
    <w:p w14:paraId="4B4EBBAF" w14:textId="04C5EF5D" w:rsidR="000D0770" w:rsidRDefault="00BB1278" w:rsidP="00734CC4">
      <w:pPr>
        <w:shd w:val="clear" w:color="auto" w:fill="C6D9F1" w:themeFill="text2" w:themeFillTint="33"/>
        <w:spacing w:line="276" w:lineRule="auto"/>
      </w:pPr>
      <w:r>
        <w:t xml:space="preserve">VBG – </w:t>
      </w:r>
      <w:r w:rsidR="00715BA9">
        <w:t xml:space="preserve">normal K, </w:t>
      </w:r>
      <w:proofErr w:type="spellStart"/>
      <w:r w:rsidR="00715BA9">
        <w:t>anemia</w:t>
      </w:r>
      <w:proofErr w:type="spellEnd"/>
      <w:r w:rsidR="00715BA9">
        <w:t xml:space="preserve">, raised </w:t>
      </w:r>
      <w:proofErr w:type="spellStart"/>
      <w:r w:rsidR="00715BA9">
        <w:t>creat</w:t>
      </w:r>
      <w:proofErr w:type="spellEnd"/>
    </w:p>
    <w:p w14:paraId="2682FD8B" w14:textId="77777777" w:rsidR="000D0770" w:rsidRDefault="000D0770" w:rsidP="00734CC4">
      <w:pPr>
        <w:shd w:val="clear" w:color="auto" w:fill="C6D9F1" w:themeFill="text2" w:themeFillTint="33"/>
        <w:spacing w:line="276" w:lineRule="auto"/>
      </w:pPr>
    </w:p>
    <w:p w14:paraId="1652BBDD" w14:textId="77777777" w:rsidR="00024FE8" w:rsidRPr="00F15487" w:rsidRDefault="00024FE8" w:rsidP="00F15487">
      <w:pPr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1E16AAC5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0D0770" w:rsidRPr="00F15487">
        <w:rPr>
          <w:b/>
        </w:rPr>
        <w:t>1</w:t>
      </w:r>
      <w:r w:rsidR="007D1A55">
        <w:rPr>
          <w:b/>
        </w:rPr>
        <w:t>5</w:t>
      </w:r>
      <w:r w:rsidR="007D1A55">
        <w:tab/>
      </w:r>
      <w:r w:rsidR="00FC5B63">
        <w:tab/>
        <w:t xml:space="preserve">RR </w:t>
      </w:r>
      <w:r w:rsidR="007D1A55">
        <w:t>30</w:t>
      </w:r>
      <w:r w:rsidR="00FC5B63">
        <w:tab/>
      </w:r>
      <w:r w:rsidR="00FC5B63">
        <w:tab/>
      </w:r>
      <w:r w:rsidR="00FC5B63" w:rsidRPr="00D510FB">
        <w:t>P 1</w:t>
      </w:r>
      <w:r w:rsidR="007D1A55">
        <w:t>20</w:t>
      </w:r>
      <w:r w:rsidR="00FC5B63">
        <w:tab/>
      </w:r>
      <w:r w:rsidR="00FC5B63">
        <w:tab/>
      </w:r>
      <w:r w:rsidR="00FC5B63" w:rsidRPr="00D510FB">
        <w:t xml:space="preserve">BP </w:t>
      </w:r>
      <w:r w:rsidR="007D1A55">
        <w:t>125</w:t>
      </w:r>
      <w:r w:rsidR="00FC5B63">
        <w:t>/</w:t>
      </w:r>
      <w:r w:rsidR="007D1A55">
        <w:t>75</w:t>
      </w:r>
      <w:r w:rsidR="00FC5B63">
        <w:tab/>
      </w:r>
      <w:r w:rsidR="007D1A55">
        <w:tab/>
      </w:r>
      <w:r w:rsidR="00FC5B63">
        <w:t xml:space="preserve">GCS </w:t>
      </w:r>
      <w:r w:rsidR="007D1A55">
        <w:rPr>
          <w:b/>
        </w:rPr>
        <w:t>15</w:t>
      </w:r>
      <w:r w:rsidR="007F5FC8">
        <w:tab/>
      </w:r>
      <w:r w:rsidR="00FC5B63">
        <w:tab/>
        <w:t xml:space="preserve">RR </w:t>
      </w:r>
      <w:r w:rsidR="007D1A55">
        <w:t>24</w:t>
      </w:r>
      <w:r w:rsidR="00FC5B63">
        <w:tab/>
      </w:r>
      <w:r w:rsidR="007D1A55">
        <w:tab/>
      </w:r>
      <w:r w:rsidR="00FC5B63">
        <w:t xml:space="preserve">HR </w:t>
      </w:r>
      <w:r w:rsidR="007D1A55">
        <w:t>105</w:t>
      </w:r>
    </w:p>
    <w:p w14:paraId="5B7BC96C" w14:textId="4969D48D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7D1A55">
        <w:t>92</w:t>
      </w:r>
      <w:r w:rsidRPr="00D510FB">
        <w:t>% RA</w:t>
      </w:r>
      <w:r w:rsidRPr="00D510FB" w:rsidDel="00FC5B63">
        <w:t xml:space="preserve"> </w:t>
      </w:r>
      <w:r>
        <w:tab/>
      </w:r>
      <w:r>
        <w:tab/>
        <w:t xml:space="preserve">T </w:t>
      </w:r>
      <w:r w:rsidR="007D1A55">
        <w:t>37.8</w:t>
      </w:r>
      <w:r>
        <w:tab/>
      </w:r>
      <w:r>
        <w:tab/>
      </w:r>
      <w:r w:rsidR="007D1A55">
        <w:tab/>
      </w:r>
      <w:r>
        <w:t xml:space="preserve">BSL </w:t>
      </w:r>
      <w:r w:rsidR="007D1A55">
        <w:t>gas</w:t>
      </w:r>
      <w:r>
        <w:tab/>
      </w:r>
      <w:r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  <w:t xml:space="preserve">BP </w:t>
      </w:r>
      <w:r w:rsidR="007D1A55">
        <w:t>120/80</w:t>
      </w:r>
      <w:r>
        <w:tab/>
        <w:t>T 37.</w:t>
      </w:r>
      <w:r w:rsidR="007D1A55">
        <w:t>2</w:t>
      </w:r>
      <w:r>
        <w:tab/>
      </w: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>Mannequin Features</w:t>
      </w:r>
    </w:p>
    <w:p w14:paraId="2D026E7D" w14:textId="522494BE" w:rsidR="00D510FB" w:rsidRDefault="007D1A55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Fem</w:t>
      </w:r>
      <w:r w:rsidR="00AB641F">
        <w:t>ale, clothed</w:t>
      </w:r>
      <w:r w:rsidR="009A7C7C">
        <w:t>, CAPD vest on, contains simulated cloudy dialysate fluid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2B6791F3" w14:textId="77777777" w:rsidR="00EB19B2" w:rsidRDefault="00D510FB" w:rsidP="00734CC4">
      <w:pPr>
        <w:shd w:val="clear" w:color="auto" w:fill="C6D9F1" w:themeFill="text2" w:themeFillTint="33"/>
      </w:pPr>
      <w:r>
        <w:t>Registrars x2</w:t>
      </w:r>
      <w:r w:rsidR="00030D9A">
        <w:tab/>
      </w:r>
      <w:r w:rsidR="00EB19B2">
        <w:tab/>
      </w:r>
      <w:r w:rsidR="00EB19B2">
        <w:tab/>
      </w:r>
      <w:r w:rsidR="00EB19B2">
        <w:tab/>
      </w:r>
      <w:r w:rsidR="00EB19B2">
        <w:tab/>
      </w:r>
      <w:r w:rsidR="00EB19B2">
        <w:tab/>
      </w:r>
      <w:r w:rsidR="00EB19B2">
        <w:t>ED Consultant available by phone</w:t>
      </w:r>
      <w:r w:rsidR="00030D9A">
        <w:tab/>
      </w:r>
      <w:r w:rsidR="00030D9A">
        <w:tab/>
      </w:r>
      <w:r w:rsidR="00030D9A">
        <w:tab/>
      </w:r>
    </w:p>
    <w:p w14:paraId="75D71BA4" w14:textId="721344B4" w:rsidR="00CC27CA" w:rsidRDefault="00D510FB" w:rsidP="00734CC4">
      <w:pPr>
        <w:shd w:val="clear" w:color="auto" w:fill="C6D9F1" w:themeFill="text2" w:themeFillTint="33"/>
      </w:pPr>
      <w:r>
        <w:t xml:space="preserve">Nurses x3ED </w:t>
      </w:r>
      <w:r w:rsidR="00030D9A">
        <w:tab/>
      </w:r>
      <w:r w:rsidR="007F5FC8">
        <w:tab/>
      </w:r>
      <w:r w:rsidR="00EB19B2">
        <w:tab/>
      </w:r>
      <w:r w:rsidR="00EB19B2">
        <w:tab/>
      </w:r>
      <w:r w:rsidR="00EB19B2">
        <w:tab/>
      </w:r>
      <w:r w:rsidR="00EB19B2">
        <w:tab/>
      </w:r>
      <w:r w:rsidR="00EB19B2">
        <w:t>Renal Nurse (</w:t>
      </w:r>
      <w:proofErr w:type="spellStart"/>
      <w:r w:rsidR="00EB19B2">
        <w:t>reg</w:t>
      </w:r>
      <w:proofErr w:type="spellEnd"/>
      <w:r w:rsidR="00EB19B2">
        <w:t xml:space="preserve"> / consultant referral by phone)</w:t>
      </w:r>
      <w:r w:rsidR="00EB19B2">
        <w:t xml:space="preserve">  </w:t>
      </w:r>
      <w:r w:rsidR="007F5FC8">
        <w:tab/>
      </w:r>
      <w:r w:rsidR="00030D9A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7F5FC8">
        <w:tab/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401FF76E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EB19B2">
        <w:rPr>
          <w:color w:val="auto"/>
        </w:rPr>
        <w:t xml:space="preserve"> VBG </w:t>
      </w:r>
      <w:r w:rsidR="00CD24DE">
        <w:rPr>
          <w:color w:val="auto"/>
        </w:rPr>
        <w:t xml:space="preserve">and the </w:t>
      </w:r>
      <w:r w:rsidR="007D1A55">
        <w:rPr>
          <w:color w:val="auto"/>
        </w:rPr>
        <w:t>peritonitis</w:t>
      </w:r>
      <w:r w:rsidR="007F5FC8">
        <w:rPr>
          <w:color w:val="auto"/>
        </w:rPr>
        <w:t xml:space="preserve"> </w:t>
      </w:r>
      <w:r w:rsidR="00CD24DE">
        <w:rPr>
          <w:color w:val="auto"/>
        </w:rPr>
        <w:t>protocol only if specifically ask</w:t>
      </w:r>
      <w:r w:rsidR="00FC5B63">
        <w:rPr>
          <w:color w:val="auto"/>
        </w:rPr>
        <w:t>ed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4D3F4D30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F501B2">
        <w:t>have gone</w:t>
      </w:r>
      <w:r w:rsidR="00CC27CA">
        <w:t xml:space="preserve"> to </w:t>
      </w:r>
      <w:r w:rsidR="007D1A55">
        <w:t>Majors cubicle 3</w:t>
      </w:r>
      <w:r>
        <w:t xml:space="preserve"> to see a</w:t>
      </w:r>
      <w:r w:rsidR="007D1A55">
        <w:t>n ATS 3 patient. Sh</w:t>
      </w:r>
      <w:r w:rsidR="00F501B2">
        <w:t>e is a</w:t>
      </w:r>
      <w:r w:rsidR="00CC27CA">
        <w:t xml:space="preserve"> </w:t>
      </w:r>
      <w:r w:rsidR="00F42D96">
        <w:t>3</w:t>
      </w:r>
      <w:r w:rsidR="007D1A55">
        <w:t>2</w:t>
      </w:r>
      <w:r w:rsidR="00F501B2">
        <w:t>yo</w:t>
      </w:r>
      <w:r>
        <w:t xml:space="preserve"> </w:t>
      </w:r>
      <w:r w:rsidR="001D3718">
        <w:t xml:space="preserve">woman </w:t>
      </w:r>
      <w:r w:rsidR="00F42D96">
        <w:t>from home who noticed</w:t>
      </w:r>
      <w:r w:rsidR="001D3718">
        <w:t xml:space="preserve"> cloudy dialysis effluent</w:t>
      </w:r>
      <w:r w:rsidR="00F42D96">
        <w:t xml:space="preserve"> during a routine exchange</w:t>
      </w:r>
      <w:r w:rsidR="001D3718">
        <w:t>. She has complained of</w:t>
      </w:r>
      <w:r>
        <w:t xml:space="preserve"> </w:t>
      </w:r>
      <w:r w:rsidR="00F42D96">
        <w:t>abdominal pain and SOB and phoned the CAPD clinic who advised her to come to ED.</w:t>
      </w:r>
      <w:r w:rsidR="00D54E65">
        <w:t xml:space="preserve"> </w:t>
      </w:r>
      <w:r w:rsidR="00016A39">
        <w:t xml:space="preserve">Please assess and treat as you would in your everyday practice.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308A7270" w14:textId="35AA9D3A" w:rsidR="00B45F89" w:rsidRDefault="009E14B4" w:rsidP="00734CC4">
      <w:pPr>
        <w:shd w:val="clear" w:color="auto" w:fill="C6D9F1" w:themeFill="text2" w:themeFillTint="33"/>
        <w:rPr>
          <w:b/>
        </w:rPr>
      </w:pPr>
      <w:r>
        <w:rPr>
          <w:b/>
        </w:rPr>
        <w:t>How do you feel</w:t>
      </w:r>
      <w:r w:rsidR="00B45F89" w:rsidRPr="00734CC4">
        <w:rPr>
          <w:b/>
        </w:rPr>
        <w:t xml:space="preserve">? </w:t>
      </w:r>
    </w:p>
    <w:p w14:paraId="6BAD2E4A" w14:textId="718CEC1F" w:rsidR="009E14B4" w:rsidRPr="00FC5B63" w:rsidRDefault="009E14B4" w:rsidP="00734CC4">
      <w:pPr>
        <w:shd w:val="clear" w:color="auto" w:fill="C6D9F1" w:themeFill="text2" w:themeFillTint="33"/>
      </w:pPr>
      <w:r w:rsidRPr="00FC5B63">
        <w:t>“</w:t>
      </w:r>
      <w:r w:rsidR="001D3718">
        <w:t>Dizzy</w:t>
      </w:r>
      <w:r w:rsidR="00F63E3B">
        <w:t>”</w:t>
      </w:r>
      <w:r w:rsidR="001D3718">
        <w:t xml:space="preserve">, </w:t>
      </w:r>
      <w:r w:rsidR="00F63E3B">
        <w:t>“</w:t>
      </w:r>
      <w:r w:rsidR="001D3718">
        <w:t>stomach is sore</w:t>
      </w:r>
      <w:r w:rsidRPr="00FC5B63">
        <w:t>”, “</w:t>
      </w:r>
      <w:r w:rsidR="001D3718">
        <w:t>diarrhoea when I go to toilet</w:t>
      </w:r>
      <w:r w:rsidRPr="00FC5B63">
        <w:t>”</w:t>
      </w:r>
    </w:p>
    <w:p w14:paraId="77334E17" w14:textId="77777777" w:rsidR="009E14B4" w:rsidRPr="00FC5B63" w:rsidRDefault="009E14B4" w:rsidP="00734CC4">
      <w:pPr>
        <w:shd w:val="clear" w:color="auto" w:fill="C6D9F1" w:themeFill="text2" w:themeFillTint="33"/>
        <w:rPr>
          <w:b/>
        </w:rPr>
      </w:pPr>
      <w:r w:rsidRPr="00FC5B63">
        <w:rPr>
          <w:b/>
        </w:rPr>
        <w:t>How do you behave?</w:t>
      </w:r>
    </w:p>
    <w:p w14:paraId="22328B75" w14:textId="66B1367F" w:rsidR="00B45F89" w:rsidRDefault="00F42D96" w:rsidP="00734CC4">
      <w:pPr>
        <w:shd w:val="clear" w:color="auto" w:fill="C6D9F1" w:themeFill="text2" w:themeFillTint="33"/>
      </w:pPr>
      <w:r>
        <w:t>Alert, oriented, complains of a</w:t>
      </w:r>
      <w:r w:rsidR="00F63E3B">
        <w:t>bdominal pain</w:t>
      </w:r>
      <w:r>
        <w:t xml:space="preserve"> if asked</w:t>
      </w:r>
      <w:r w:rsidR="00F63E3B">
        <w:t xml:space="preserve">.  </w:t>
      </w:r>
      <w:r w:rsidR="001D3718">
        <w:t>S</w:t>
      </w:r>
      <w:r w:rsidR="009E14B4">
        <w:t xml:space="preserve">imulated voice or patient speaks in </w:t>
      </w:r>
      <w:r w:rsidR="001D3718">
        <w:t>full sentences</w:t>
      </w:r>
      <w:r w:rsidR="003157AE">
        <w:t xml:space="preserve">.  </w:t>
      </w:r>
      <w:r w:rsidR="001D3718">
        <w:t>Cooperative with interventions</w:t>
      </w:r>
    </w:p>
    <w:p w14:paraId="588DE92D" w14:textId="6C083F0F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F42D96">
        <w:t xml:space="preserve">Lupus nephritis, </w:t>
      </w:r>
      <w:r w:rsidR="001D3718">
        <w:t>renal failur</w:t>
      </w:r>
      <w:r w:rsidR="00F42D96">
        <w:t>e, recent AV fistula formation (</w:t>
      </w:r>
      <w:r w:rsidR="001D3718">
        <w:t>not yet used</w:t>
      </w:r>
      <w:r w:rsidR="00F42D96">
        <w:t xml:space="preserve">), HT. Meds: </w:t>
      </w:r>
      <w:proofErr w:type="spellStart"/>
      <w:r w:rsidR="00F42D96">
        <w:t>amplodipine</w:t>
      </w:r>
      <w:proofErr w:type="spellEnd"/>
    </w:p>
    <w:p w14:paraId="775332BD" w14:textId="13681385" w:rsidR="000D0770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0D0770">
        <w:t xml:space="preserve"> </w:t>
      </w:r>
    </w:p>
    <w:p w14:paraId="115954EF" w14:textId="49FC81CB" w:rsidR="00C152D4" w:rsidRPr="005C6A36" w:rsidRDefault="001D3718" w:rsidP="00F15487">
      <w:pPr>
        <w:shd w:val="clear" w:color="auto" w:fill="C6D9F1" w:themeFill="text2" w:themeFillTint="33"/>
        <w:spacing w:line="276" w:lineRule="auto"/>
      </w:pPr>
      <w:r>
        <w:t xml:space="preserve">No etoh use /smoking.  </w:t>
      </w:r>
      <w:r w:rsidR="00F42D96">
        <w:t>Long term Darwin resident, lives with husband and children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5C4B82D9" w14:textId="5B5E6EEF" w:rsidR="00030D9A" w:rsidRDefault="001D3718" w:rsidP="00734CC4">
      <w:pPr>
        <w:shd w:val="clear" w:color="auto" w:fill="C6D9F1" w:themeFill="text2" w:themeFillTint="33"/>
      </w:pPr>
      <w:r>
        <w:t>Team to</w:t>
      </w:r>
      <w:r w:rsidR="009E4C0D">
        <w:t xml:space="preserve"> </w:t>
      </w:r>
      <w:r>
        <w:t>assess</w:t>
      </w:r>
      <w:r w:rsidR="007F5FC8">
        <w:t xml:space="preserve"> </w:t>
      </w:r>
      <w:r>
        <w:t>cause of respiratory and abdominal issues</w:t>
      </w:r>
    </w:p>
    <w:p w14:paraId="0A0FB499" w14:textId="6BEFBE55" w:rsidR="009E4C0D" w:rsidRDefault="00F42D96" w:rsidP="00734CC4">
      <w:pPr>
        <w:shd w:val="clear" w:color="auto" w:fill="C6D9F1" w:themeFill="text2" w:themeFillTint="33"/>
      </w:pPr>
      <w:r>
        <w:t>Performs routine checks in dialysis patient (VBG, ECG, clinical exam)</w:t>
      </w:r>
      <w:r w:rsidR="009E4C0D">
        <w:t xml:space="preserve">, appropriate </w:t>
      </w:r>
      <w:r w:rsidR="001D3718">
        <w:t>peritoneal fluid collection and IP therapy</w:t>
      </w:r>
    </w:p>
    <w:p w14:paraId="1C56966A" w14:textId="29952A50" w:rsidR="00016A39" w:rsidRDefault="009E4C0D" w:rsidP="00734CC4">
      <w:pPr>
        <w:shd w:val="clear" w:color="auto" w:fill="C6D9F1" w:themeFill="text2" w:themeFillTint="33"/>
      </w:pPr>
      <w:r>
        <w:t>Focussed history taking, culturally appropriate interaction with patient</w:t>
      </w:r>
    </w:p>
    <w:p w14:paraId="6ACA87CE" w14:textId="1AE2B9BD" w:rsidR="00030D9A" w:rsidRDefault="001D3718" w:rsidP="00734CC4">
      <w:pPr>
        <w:shd w:val="clear" w:color="auto" w:fill="C6D9F1" w:themeFill="text2" w:themeFillTint="33"/>
      </w:pPr>
      <w:r>
        <w:t xml:space="preserve">Assesses state of new AV fistula and </w:t>
      </w:r>
      <w:proofErr w:type="spellStart"/>
      <w:r w:rsidR="004752C9">
        <w:t>Tenckhoff</w:t>
      </w:r>
      <w:proofErr w:type="spellEnd"/>
      <w:r>
        <w:t xml:space="preserve"> catheter/site</w:t>
      </w:r>
    </w:p>
    <w:p w14:paraId="721133F3" w14:textId="553281BD" w:rsidR="00F42D96" w:rsidRDefault="00F42D96" w:rsidP="00734CC4">
      <w:pPr>
        <w:shd w:val="clear" w:color="auto" w:fill="C6D9F1" w:themeFill="text2" w:themeFillTint="33"/>
      </w:pPr>
      <w:r>
        <w:t xml:space="preserve">Notifies </w:t>
      </w:r>
      <w:proofErr w:type="gramStart"/>
      <w:r>
        <w:t>Renal</w:t>
      </w:r>
      <w:proofErr w:type="gramEnd"/>
      <w:r>
        <w:t xml:space="preserve"> nurse and </w:t>
      </w:r>
      <w:r w:rsidR="00EB19B2">
        <w:t xml:space="preserve">Renal </w:t>
      </w:r>
      <w:r>
        <w:t xml:space="preserve">registrar of patient’s arrival and </w:t>
      </w:r>
      <w:r w:rsidR="00EB19B2">
        <w:t xml:space="preserve">ED </w:t>
      </w:r>
      <w:r>
        <w:t>assessment</w:t>
      </w:r>
      <w:r>
        <w:t>, prepares for fluid sampling and exchange</w:t>
      </w:r>
    </w:p>
    <w:p w14:paraId="0845A602" w14:textId="0DA803F5" w:rsidR="00F42D96" w:rsidRDefault="00F42D96">
      <w:pPr>
        <w:shd w:val="clear" w:color="auto" w:fill="C6D9F1" w:themeFill="text2" w:themeFillTint="33"/>
        <w:spacing w:line="276" w:lineRule="auto"/>
      </w:pPr>
      <w:r>
        <w:t xml:space="preserve">Administers intraperitoneal medications </w:t>
      </w:r>
      <w:r w:rsidR="00EB19B2">
        <w:t xml:space="preserve">in new dialysate fluid </w:t>
      </w:r>
      <w:r>
        <w:t>with assistance from renal nurse as required</w:t>
      </w:r>
    </w:p>
    <w:p w14:paraId="4595B25D" w14:textId="72FE5219"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Human factors:</w:t>
      </w:r>
    </w:p>
    <w:p w14:paraId="25D84C25" w14:textId="28FC4C0B" w:rsidR="009576A6" w:rsidRDefault="009576A6">
      <w:pPr>
        <w:shd w:val="clear" w:color="auto" w:fill="C6D9F1" w:themeFill="text2" w:themeFillTint="33"/>
        <w:spacing w:line="276" w:lineRule="auto"/>
      </w:pPr>
      <w:r>
        <w:t xml:space="preserve">Teamwork, </w:t>
      </w:r>
      <w:r w:rsidR="001D3718">
        <w:t>consultation, technical skills (specimen collection)</w:t>
      </w:r>
    </w:p>
    <w:p w14:paraId="05E27E58" w14:textId="5D15BBF3"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Clinical factors:</w:t>
      </w:r>
    </w:p>
    <w:p w14:paraId="1CFBD7D5" w14:textId="5299AD29" w:rsidR="00394C27" w:rsidRDefault="009E4C0D">
      <w:pPr>
        <w:shd w:val="clear" w:color="auto" w:fill="C6D9F1" w:themeFill="text2" w:themeFillTint="33"/>
        <w:spacing w:line="276" w:lineRule="auto"/>
      </w:pPr>
      <w:r>
        <w:t xml:space="preserve">Assessment </w:t>
      </w:r>
      <w:r w:rsidR="002D78EF">
        <w:t xml:space="preserve">and management </w:t>
      </w:r>
      <w:r>
        <w:t xml:space="preserve">of </w:t>
      </w:r>
      <w:r w:rsidR="001D3718">
        <w:t>presum</w:t>
      </w:r>
      <w:r w:rsidR="00F42D96">
        <w:t>ed CAPD peritonitis</w:t>
      </w:r>
    </w:p>
    <w:p w14:paraId="11E5404C" w14:textId="6C94D256" w:rsidR="003D6D39" w:rsidRDefault="003D6D39" w:rsidP="003D6D39">
      <w:pPr>
        <w:shd w:val="clear" w:color="auto" w:fill="C6D9F1" w:themeFill="text2" w:themeFillTint="33"/>
        <w:spacing w:line="276" w:lineRule="auto"/>
      </w:pP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D0770"/>
    <w:rsid w:val="001D3718"/>
    <w:rsid w:val="002259A5"/>
    <w:rsid w:val="00232B3A"/>
    <w:rsid w:val="00280E21"/>
    <w:rsid w:val="00286EC4"/>
    <w:rsid w:val="002970CC"/>
    <w:rsid w:val="002C4FE5"/>
    <w:rsid w:val="002D78EF"/>
    <w:rsid w:val="003157AE"/>
    <w:rsid w:val="00343779"/>
    <w:rsid w:val="00394C27"/>
    <w:rsid w:val="003D6D39"/>
    <w:rsid w:val="003E4A4D"/>
    <w:rsid w:val="004233D8"/>
    <w:rsid w:val="00441120"/>
    <w:rsid w:val="00473232"/>
    <w:rsid w:val="00473F7E"/>
    <w:rsid w:val="004752C9"/>
    <w:rsid w:val="00590245"/>
    <w:rsid w:val="005C36DB"/>
    <w:rsid w:val="005C6A36"/>
    <w:rsid w:val="006940B2"/>
    <w:rsid w:val="006F4365"/>
    <w:rsid w:val="00715BA9"/>
    <w:rsid w:val="0071720E"/>
    <w:rsid w:val="00734CC4"/>
    <w:rsid w:val="00766B31"/>
    <w:rsid w:val="007A09F6"/>
    <w:rsid w:val="007D1A55"/>
    <w:rsid w:val="007F5FC8"/>
    <w:rsid w:val="008709F9"/>
    <w:rsid w:val="008A025A"/>
    <w:rsid w:val="009139AB"/>
    <w:rsid w:val="00954F4D"/>
    <w:rsid w:val="009576A6"/>
    <w:rsid w:val="009A7C7C"/>
    <w:rsid w:val="009D4586"/>
    <w:rsid w:val="009E14B4"/>
    <w:rsid w:val="009E4C0D"/>
    <w:rsid w:val="00A03C4F"/>
    <w:rsid w:val="00A308AB"/>
    <w:rsid w:val="00AB641F"/>
    <w:rsid w:val="00B45F89"/>
    <w:rsid w:val="00B87232"/>
    <w:rsid w:val="00BB1278"/>
    <w:rsid w:val="00C066B4"/>
    <w:rsid w:val="00C152D4"/>
    <w:rsid w:val="00CC27CA"/>
    <w:rsid w:val="00CD24DE"/>
    <w:rsid w:val="00CF384E"/>
    <w:rsid w:val="00D102BC"/>
    <w:rsid w:val="00D510FB"/>
    <w:rsid w:val="00D54E65"/>
    <w:rsid w:val="00DC0B93"/>
    <w:rsid w:val="00DE78D7"/>
    <w:rsid w:val="00E017CC"/>
    <w:rsid w:val="00E23F02"/>
    <w:rsid w:val="00E3598F"/>
    <w:rsid w:val="00E73E0F"/>
    <w:rsid w:val="00EA1DED"/>
    <w:rsid w:val="00EB19B2"/>
    <w:rsid w:val="00EC31D2"/>
    <w:rsid w:val="00EF5620"/>
    <w:rsid w:val="00F15487"/>
    <w:rsid w:val="00F42D96"/>
    <w:rsid w:val="00F501B2"/>
    <w:rsid w:val="00F63E3B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010F9-E3E9-4DAF-87DA-9AC5F2D7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7</cp:revision>
  <cp:lastPrinted>2016-02-08T23:33:00Z</cp:lastPrinted>
  <dcterms:created xsi:type="dcterms:W3CDTF">2016-03-02T08:38:00Z</dcterms:created>
  <dcterms:modified xsi:type="dcterms:W3CDTF">2016-03-07T23:36:00Z</dcterms:modified>
</cp:coreProperties>
</file>