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Default="000662A4" w:rsidP="00F90FEB">
      <w:pPr>
        <w:spacing w:line="360" w:lineRule="auto"/>
        <w:ind w:hanging="709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SAQ 24</w:t>
      </w:r>
    </w:p>
    <w:p w14:paraId="13B36C63" w14:textId="77777777" w:rsidR="00F90FEB" w:rsidRPr="006236DE" w:rsidRDefault="00F90FEB" w:rsidP="00F90FEB">
      <w:pPr>
        <w:spacing w:line="360" w:lineRule="auto"/>
        <w:ind w:hanging="709"/>
        <w:contextualSpacing/>
        <w:rPr>
          <w:rFonts w:asciiTheme="majorHAnsi" w:hAnsiTheme="majorHAnsi"/>
          <w:sz w:val="20"/>
          <w:szCs w:val="20"/>
        </w:rPr>
      </w:pPr>
      <w:r w:rsidRPr="00414617">
        <w:rPr>
          <w:rFonts w:asciiTheme="majorHAnsi" w:hAnsiTheme="majorHAnsi"/>
          <w:b/>
          <w:sz w:val="20"/>
          <w:szCs w:val="20"/>
        </w:rPr>
        <w:t>Reference:</w:t>
      </w:r>
      <w:r w:rsidRPr="006236DE">
        <w:rPr>
          <w:rFonts w:asciiTheme="majorHAnsi" w:hAnsiTheme="majorHAnsi"/>
          <w:sz w:val="20"/>
          <w:szCs w:val="20"/>
        </w:rPr>
        <w:tab/>
        <w:t>Chan p. 282</w:t>
      </w:r>
    </w:p>
    <w:p w14:paraId="750EE7D4" w14:textId="47E29674" w:rsidR="00107877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>List 3 key ECG features of significant HYPOkalaemia.</w:t>
      </w:r>
      <w:r w:rsidR="006236DE" w:rsidRPr="00182ADF">
        <w:rPr>
          <w:rFonts w:asciiTheme="majorHAnsi" w:hAnsiTheme="majorHAnsi" w:cs="Arial"/>
          <w:b/>
          <w:sz w:val="20"/>
          <w:szCs w:val="20"/>
        </w:rPr>
        <w:tab/>
      </w:r>
      <w:r w:rsidR="006236DE" w:rsidRPr="00182ADF">
        <w:rPr>
          <w:rFonts w:asciiTheme="majorHAnsi" w:hAnsiTheme="majorHAnsi" w:cs="Arial"/>
          <w:i/>
          <w:sz w:val="20"/>
          <w:szCs w:val="20"/>
        </w:rPr>
        <w:t>1 mark for each. Easy question, so borderline is 2.</w:t>
      </w:r>
    </w:p>
    <w:p w14:paraId="0450E5AC" w14:textId="4671D9B0" w:rsidR="00107877" w:rsidRPr="00182ADF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b/>
          <w:sz w:val="20"/>
          <w:szCs w:val="20"/>
        </w:rPr>
        <w:t>a.</w:t>
      </w:r>
      <w:r w:rsidR="006236DE" w:rsidRPr="00182ADF">
        <w:rPr>
          <w:rFonts w:asciiTheme="majorHAnsi" w:hAnsiTheme="majorHAnsi"/>
          <w:sz w:val="20"/>
          <w:szCs w:val="20"/>
        </w:rPr>
        <w:t xml:space="preserve"> QTc prolongation</w:t>
      </w:r>
    </w:p>
    <w:p w14:paraId="3B6DACAC" w14:textId="158340BA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>
        <w:rPr>
          <w:rFonts w:asciiTheme="majorHAnsi" w:hAnsiTheme="majorHAnsi"/>
          <w:sz w:val="20"/>
          <w:szCs w:val="20"/>
        </w:rPr>
        <w:t>Prominent U wave</w:t>
      </w:r>
    </w:p>
    <w:p w14:paraId="5747C2BB" w14:textId="7D9D16F0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 w:rsidRPr="006236DE">
        <w:rPr>
          <w:rFonts w:asciiTheme="majorHAnsi" w:hAnsiTheme="majorHAnsi"/>
          <w:sz w:val="20"/>
          <w:szCs w:val="20"/>
        </w:rPr>
        <w:t>T wave flattening</w:t>
      </w:r>
    </w:p>
    <w:p w14:paraId="0E85EEA6" w14:textId="2AD8DAF1" w:rsidR="006236DE" w:rsidRDefault="006236DE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6236DE">
        <w:rPr>
          <w:rFonts w:asciiTheme="majorHAnsi" w:hAnsiTheme="majorHAnsi"/>
          <w:sz w:val="20"/>
          <w:szCs w:val="20"/>
        </w:rPr>
        <w:t xml:space="preserve">Others (of equal value): </w:t>
      </w:r>
      <w:r w:rsidR="008605AF">
        <w:rPr>
          <w:rFonts w:asciiTheme="majorHAnsi" w:hAnsiTheme="majorHAnsi"/>
          <w:sz w:val="20"/>
          <w:szCs w:val="20"/>
        </w:rPr>
        <w:t xml:space="preserve">PR prolongation, </w:t>
      </w:r>
      <w:r w:rsidR="005C0020">
        <w:rPr>
          <w:rFonts w:asciiTheme="majorHAnsi" w:hAnsiTheme="majorHAnsi"/>
          <w:sz w:val="20"/>
          <w:szCs w:val="20"/>
        </w:rPr>
        <w:t xml:space="preserve">increased P wave amplitude and width, </w:t>
      </w:r>
      <w:r>
        <w:rPr>
          <w:rFonts w:asciiTheme="majorHAnsi" w:hAnsiTheme="majorHAnsi"/>
          <w:sz w:val="20"/>
          <w:szCs w:val="20"/>
        </w:rPr>
        <w:t>ST</w:t>
      </w:r>
      <w:r w:rsidRPr="006236DE">
        <w:rPr>
          <w:rFonts w:asciiTheme="majorHAnsi" w:hAnsiTheme="majorHAnsi"/>
          <w:sz w:val="20"/>
          <w:szCs w:val="20"/>
        </w:rPr>
        <w:t xml:space="preserve"> depression, </w:t>
      </w:r>
      <w:r w:rsidRPr="006236DE">
        <w:rPr>
          <w:rFonts w:asciiTheme="majorHAnsi" w:hAnsiTheme="majorHAnsi"/>
          <w:i/>
          <w:sz w:val="20"/>
          <w:szCs w:val="20"/>
        </w:rPr>
        <w:t>torsades de pointes</w:t>
      </w:r>
      <w:r w:rsidRPr="006236DE">
        <w:rPr>
          <w:rFonts w:asciiTheme="majorHAnsi" w:hAnsiTheme="majorHAnsi"/>
          <w:sz w:val="20"/>
          <w:szCs w:val="20"/>
        </w:rPr>
        <w:t xml:space="preserve">, </w:t>
      </w:r>
      <w:r w:rsidR="00182ADF">
        <w:rPr>
          <w:rFonts w:asciiTheme="majorHAnsi" w:hAnsiTheme="majorHAnsi"/>
          <w:sz w:val="20"/>
          <w:szCs w:val="20"/>
        </w:rPr>
        <w:t xml:space="preserve">atrial ectopics, </w:t>
      </w:r>
      <w:r w:rsidRPr="006236DE">
        <w:rPr>
          <w:rFonts w:asciiTheme="majorHAnsi" w:hAnsiTheme="majorHAnsi"/>
          <w:sz w:val="20"/>
          <w:szCs w:val="20"/>
        </w:rPr>
        <w:t>ventricular ectopics, atrial tachyarrhythmias (fibrillation, flutter).</w:t>
      </w:r>
      <w:r w:rsidR="00414617">
        <w:rPr>
          <w:rFonts w:asciiTheme="majorHAnsi" w:hAnsiTheme="majorHAnsi"/>
          <w:sz w:val="20"/>
          <w:szCs w:val="20"/>
        </w:rPr>
        <w:t xml:space="preserve"> NB: “arrhythmia” without qualification does not count.</w:t>
      </w:r>
    </w:p>
    <w:p w14:paraId="43F813F7" w14:textId="77777777" w:rsidR="00182ADF" w:rsidRDefault="00182ADF" w:rsidP="00F90FEB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</w:p>
    <w:p w14:paraId="65EE269E" w14:textId="17DA49BC" w:rsidR="000662A4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>List 3 key ECG features of significant HYPERkalaemia.</w:t>
      </w:r>
      <w:r w:rsidR="00182ADF" w:rsidRPr="00182ADF">
        <w:rPr>
          <w:rFonts w:asciiTheme="majorHAnsi" w:hAnsiTheme="majorHAnsi" w:cs="Arial"/>
          <w:b/>
          <w:sz w:val="20"/>
          <w:szCs w:val="20"/>
        </w:rPr>
        <w:tab/>
      </w:r>
      <w:r w:rsidR="00182ADF" w:rsidRPr="00182ADF">
        <w:rPr>
          <w:rFonts w:asciiTheme="majorHAnsi" w:hAnsiTheme="majorHAnsi" w:cs="Arial"/>
          <w:i/>
          <w:sz w:val="20"/>
          <w:szCs w:val="20"/>
        </w:rPr>
        <w:t>1 mark for each. Easy question, so borderline is 2.</w:t>
      </w:r>
    </w:p>
    <w:p w14:paraId="7C4C5DED" w14:textId="3DC6C507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Tall, tented T waves</w:t>
      </w:r>
    </w:p>
    <w:p w14:paraId="0223A50F" w14:textId="1E8C7D8A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Prolonged or widened QRS</w:t>
      </w:r>
    </w:p>
    <w:p w14:paraId="2C7FDB16" w14:textId="2F071A0B" w:rsidR="000662A4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Flattened, or loss of P waves</w:t>
      </w:r>
    </w:p>
    <w:p w14:paraId="3C1A90C7" w14:textId="77777777" w:rsidR="00182ADF" w:rsidRDefault="00182ADF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sz w:val="20"/>
          <w:szCs w:val="20"/>
        </w:rPr>
        <w:t>Others (of equal value):</w:t>
      </w:r>
      <w:r>
        <w:rPr>
          <w:rFonts w:asciiTheme="majorHAnsi" w:hAnsiTheme="majorHAnsi"/>
          <w:sz w:val="20"/>
          <w:szCs w:val="20"/>
        </w:rPr>
        <w:t xml:space="preserve">  Prolonged PR interval, sine wave pattern, bundle branch blocks, VF, asystole. NB: “arrhythmia” without qualification does not count.</w:t>
      </w:r>
    </w:p>
    <w:p w14:paraId="3E7EF50F" w14:textId="39959FA7" w:rsidR="00182ADF" w:rsidRPr="00182ADF" w:rsidRDefault="00182ADF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</w:p>
    <w:p w14:paraId="6C12ACCF" w14:textId="37F012B3" w:rsidR="000662A4" w:rsidRDefault="000662A4" w:rsidP="00BA6124">
      <w:pPr>
        <w:pStyle w:val="ListParagraph"/>
        <w:spacing w:line="360" w:lineRule="auto"/>
        <w:ind w:left="-709" w:right="-14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3. A man has severe HYPERkalaemia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0029C0F6" w14:textId="3A5BB356" w:rsidR="00F90FEB" w:rsidRPr="00F90FEB" w:rsidRDefault="00F90FEB" w:rsidP="00BA6124">
      <w:pPr>
        <w:pStyle w:val="ListParagraph"/>
        <w:spacing w:line="360" w:lineRule="auto"/>
        <w:ind w:left="-709" w:righ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Reference: </w:t>
      </w:r>
      <w:r>
        <w:rPr>
          <w:rFonts w:asciiTheme="majorHAnsi" w:hAnsiTheme="majorHAnsi"/>
          <w:b/>
          <w:sz w:val="20"/>
          <w:szCs w:val="20"/>
        </w:rPr>
        <w:tab/>
      </w:r>
      <w:r w:rsidRPr="00F90FEB">
        <w:rPr>
          <w:rFonts w:asciiTheme="majorHAnsi" w:hAnsiTheme="majorHAnsi"/>
          <w:sz w:val="20"/>
          <w:szCs w:val="20"/>
        </w:rPr>
        <w:t>Cameron p.542</w:t>
      </w:r>
    </w:p>
    <w:p w14:paraId="08B07F48" w14:textId="65674878" w:rsidR="00182ADF" w:rsidRDefault="00182AD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  <w:r w:rsidRPr="00182ADF">
        <w:rPr>
          <w:rFonts w:asciiTheme="majorHAnsi" w:hAnsiTheme="majorHAnsi"/>
          <w:i/>
          <w:sz w:val="20"/>
          <w:szCs w:val="20"/>
        </w:rPr>
        <w:t>Preamble: Strategies for managing hyperK are cardiac cell membrane stabilization; K shift (return to ICF); enhance K elimination.</w:t>
      </w:r>
      <w:r>
        <w:rPr>
          <w:rFonts w:asciiTheme="majorHAnsi" w:hAnsiTheme="majorHAnsi"/>
          <w:i/>
          <w:sz w:val="20"/>
          <w:szCs w:val="20"/>
        </w:rPr>
        <w:t xml:space="preserve"> These are in decreasing order of priority in this scenario. While not a requisite for borderline score, perfect marks requires that you order them accordingly. That’s the hallmark of a senior clinician who’s done this before – ie, you!</w:t>
      </w:r>
    </w:p>
    <w:p w14:paraId="50C39511" w14:textId="77777777" w:rsidR="005324BF" w:rsidRPr="00182ADF" w:rsidRDefault="005324B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</w:p>
    <w:p w14:paraId="5C3C9096" w14:textId="5F695C14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color w:val="FF0000"/>
          <w:sz w:val="20"/>
          <w:szCs w:val="20"/>
        </w:rPr>
        <w:t>IV Ca</w:t>
      </w:r>
      <w:r w:rsidRPr="005324BF">
        <w:rPr>
          <w:rFonts w:asciiTheme="majorHAnsi" w:hAnsiTheme="majorHAnsi"/>
          <w:sz w:val="20"/>
          <w:szCs w:val="20"/>
        </w:rPr>
        <w:t xml:space="preserve"> Cl - 5 to 10 ml of 10% solution. Antagonises K cardiac toxicity, hence </w:t>
      </w:r>
      <w:r w:rsidRPr="005324BF">
        <w:rPr>
          <w:rFonts w:asciiTheme="majorHAnsi" w:hAnsiTheme="majorHAnsi"/>
          <w:color w:val="FF0000"/>
          <w:sz w:val="20"/>
          <w:szCs w:val="20"/>
        </w:rPr>
        <w:t>stabilizes cardiac cell membrane</w:t>
      </w:r>
      <w:r w:rsidRPr="005324BF">
        <w:rPr>
          <w:rFonts w:asciiTheme="majorHAnsi" w:hAnsiTheme="majorHAnsi"/>
          <w:sz w:val="20"/>
          <w:szCs w:val="20"/>
        </w:rPr>
        <w:t>. Ca gluconate acceptable, but use 15 – 30 ml, as lower concentration.</w:t>
      </w:r>
    </w:p>
    <w:p w14:paraId="30262F19" w14:textId="6DF9B79E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 xml:space="preserve">IV insulin – 20U with 50g glucose. </w:t>
      </w:r>
      <w:r w:rsidRPr="005324BF">
        <w:rPr>
          <w:rFonts w:asciiTheme="majorHAnsi" w:hAnsiTheme="majorHAnsi"/>
          <w:color w:val="FF0000"/>
          <w:sz w:val="20"/>
          <w:szCs w:val="20"/>
        </w:rPr>
        <w:t>Shifts K back into ICF.</w:t>
      </w:r>
    </w:p>
    <w:p w14:paraId="20062754" w14:textId="4868B260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IV NaHCO</w:t>
      </w:r>
      <w:r w:rsidRPr="005324BF">
        <w:rPr>
          <w:rFonts w:asciiTheme="majorHAnsi" w:hAnsiTheme="majorHAnsi"/>
          <w:bCs/>
          <w:sz w:val="20"/>
          <w:szCs w:val="20"/>
          <w:vertAlign w:val="subscript"/>
        </w:rPr>
        <w:t>3</w:t>
      </w:r>
      <w:r w:rsidRPr="005324BF">
        <w:rPr>
          <w:rFonts w:asciiTheme="majorHAnsi" w:hAnsiTheme="majorHAnsi"/>
          <w:bCs/>
          <w:sz w:val="20"/>
          <w:szCs w:val="20"/>
        </w:rPr>
        <w:t xml:space="preserve"> – 80 to 100 ml of 8.4% solution, equating to 1mmol/kg. </w:t>
      </w:r>
      <w:r w:rsidRPr="005324BF">
        <w:rPr>
          <w:rFonts w:asciiTheme="majorHAnsi" w:hAnsiTheme="majorHAnsi"/>
          <w:bCs/>
          <w:color w:val="FF0000"/>
          <w:sz w:val="20"/>
          <w:szCs w:val="20"/>
        </w:rPr>
        <w:t>Shifts K back into ICF.</w:t>
      </w:r>
    </w:p>
    <w:p w14:paraId="1733A32D" w14:textId="4B7B55A2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Nebulized salbutamol 5mg. Shifts K back into cell.</w:t>
      </w:r>
    </w:p>
    <w:p w14:paraId="5590F69A" w14:textId="55D5D4D6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Rectal resonium. Enhanced K elimination from GIT.</w:t>
      </w:r>
    </w:p>
    <w:p w14:paraId="0752FF2C" w14:textId="2EF6E533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Others (of equal value): Frusemide diuresis; haemodialysis.</w:t>
      </w:r>
    </w:p>
    <w:p w14:paraId="7A3A8836" w14:textId="77777777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p w14:paraId="3288740F" w14:textId="6719846D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  <w:r w:rsidRPr="00F90FEB">
        <w:rPr>
          <w:rFonts w:asciiTheme="majorHAnsi" w:hAnsiTheme="majorHAnsi"/>
          <w:i/>
          <w:sz w:val="20"/>
          <w:szCs w:val="20"/>
        </w:rPr>
        <w:t>2 marks each, therefore maximum of 10. Another easy question, so borderline score is 8. Bits in red are requisite for borderline mark. Must have 2 methods (any 2) to shift K into cells.</w:t>
      </w:r>
    </w:p>
    <w:p w14:paraId="6D1B5C98" w14:textId="77777777" w:rsid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</w:p>
    <w:p w14:paraId="4DBC1A2B" w14:textId="29E8C17A" w:rsidR="00F90FEB" w:rsidRP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b/>
          <w:i/>
          <w:sz w:val="20"/>
          <w:szCs w:val="20"/>
        </w:rPr>
      </w:pPr>
      <w:r w:rsidRPr="00F90FEB">
        <w:rPr>
          <w:rFonts w:asciiTheme="majorHAnsi" w:hAnsiTheme="majorHAnsi"/>
          <w:b/>
          <w:i/>
          <w:sz w:val="20"/>
          <w:szCs w:val="20"/>
        </w:rPr>
        <w:t>Overall borderline score is 12/16.</w:t>
      </w:r>
    </w:p>
    <w:sectPr w:rsidR="00F90FEB" w:rsidRPr="00F90FEB" w:rsidSect="006236DE">
      <w:pgSz w:w="11900" w:h="16840"/>
      <w:pgMar w:top="567" w:right="112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1BA5193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4023187"/>
    <w:multiLevelType w:val="hybridMultilevel"/>
    <w:tmpl w:val="18B6624A"/>
    <w:lvl w:ilvl="0" w:tplc="B88C8B3C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182ADF"/>
    <w:rsid w:val="003903AB"/>
    <w:rsid w:val="003C6158"/>
    <w:rsid w:val="003F4F5F"/>
    <w:rsid w:val="00414617"/>
    <w:rsid w:val="004B5F55"/>
    <w:rsid w:val="005324BF"/>
    <w:rsid w:val="005C0020"/>
    <w:rsid w:val="006236DE"/>
    <w:rsid w:val="007F1A97"/>
    <w:rsid w:val="008605AF"/>
    <w:rsid w:val="00950BFD"/>
    <w:rsid w:val="00997014"/>
    <w:rsid w:val="009B39B2"/>
    <w:rsid w:val="00AE3735"/>
    <w:rsid w:val="00B83236"/>
    <w:rsid w:val="00BA6124"/>
    <w:rsid w:val="00DB54F2"/>
    <w:rsid w:val="00E161E1"/>
    <w:rsid w:val="00E9224E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NTG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Liew</dc:creator>
  <cp:lastModifiedBy>Nadi Pandithage</cp:lastModifiedBy>
  <cp:revision>2</cp:revision>
  <dcterms:created xsi:type="dcterms:W3CDTF">2015-07-19T07:06:00Z</dcterms:created>
  <dcterms:modified xsi:type="dcterms:W3CDTF">2015-07-19T07:06:00Z</dcterms:modified>
</cp:coreProperties>
</file>