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E47C" w14:textId="6975B03B" w:rsidR="00E9224E" w:rsidRDefault="009A03A2" w:rsidP="000A5A36">
      <w:pPr>
        <w:ind w:hanging="709"/>
        <w:contextualSpacing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SAQ 26</w:t>
      </w:r>
    </w:p>
    <w:p w14:paraId="68EB9E1A" w14:textId="77777777" w:rsidR="000A5A36" w:rsidRPr="00E161E1" w:rsidRDefault="000A5A36" w:rsidP="000A5A36">
      <w:pPr>
        <w:ind w:hanging="709"/>
        <w:contextualSpacing/>
        <w:rPr>
          <w:rFonts w:asciiTheme="majorHAnsi" w:hAnsiTheme="majorHAnsi"/>
          <w:b/>
          <w:sz w:val="20"/>
          <w:szCs w:val="20"/>
        </w:rPr>
      </w:pPr>
    </w:p>
    <w:p w14:paraId="7EADD0E5" w14:textId="77777777" w:rsidR="00DA44FA" w:rsidRDefault="00DA44FA" w:rsidP="000A5A36">
      <w:pPr>
        <w:ind w:left="-709" w:right="-532"/>
        <w:contextualSpacing/>
        <w:rPr>
          <w:rFonts w:asciiTheme="majorHAnsi" w:hAnsiTheme="majorHAnsi" w:cs="Arial"/>
          <w:sz w:val="20"/>
          <w:szCs w:val="20"/>
        </w:rPr>
      </w:pPr>
      <w:r w:rsidRPr="00DA44FA">
        <w:rPr>
          <w:rFonts w:asciiTheme="majorHAnsi" w:hAnsiTheme="majorHAnsi" w:cs="Arial"/>
          <w:b/>
          <w:sz w:val="20"/>
          <w:szCs w:val="20"/>
        </w:rPr>
        <w:t>References:</w:t>
      </w:r>
      <w:r>
        <w:rPr>
          <w:rFonts w:asciiTheme="majorHAnsi" w:hAnsiTheme="majorHAnsi" w:cs="Arial"/>
          <w:sz w:val="20"/>
          <w:szCs w:val="20"/>
        </w:rPr>
        <w:tab/>
      </w:r>
      <w:proofErr w:type="spellStart"/>
      <w:r>
        <w:rPr>
          <w:rFonts w:asciiTheme="majorHAnsi" w:hAnsiTheme="majorHAnsi" w:cs="Arial"/>
          <w:sz w:val="20"/>
          <w:szCs w:val="20"/>
        </w:rPr>
        <w:t>Tintinalli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7</w:t>
      </w:r>
      <w:r w:rsidRPr="00DA44FA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ed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>, p. 515 to 516</w:t>
      </w:r>
    </w:p>
    <w:p w14:paraId="7B9F82BF" w14:textId="300B5F26" w:rsidR="00DA44FA" w:rsidRDefault="00DA44FA" w:rsidP="00DA44FA">
      <w:pPr>
        <w:ind w:left="-709" w:right="-532" w:firstLine="1429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Cameron 4</w:t>
      </w:r>
      <w:r w:rsidRPr="00DA44FA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</w:rPr>
        <w:t>ed</w:t>
      </w:r>
      <w:proofErr w:type="spellEnd"/>
      <w:proofErr w:type="gramEnd"/>
      <w:r>
        <w:rPr>
          <w:rFonts w:asciiTheme="majorHAnsi" w:hAnsiTheme="majorHAnsi" w:cs="Arial"/>
          <w:sz w:val="20"/>
          <w:szCs w:val="20"/>
        </w:rPr>
        <w:t>, p. 313 to 315</w:t>
      </w:r>
    </w:p>
    <w:p w14:paraId="6E395BDF" w14:textId="77777777" w:rsidR="00D63B29" w:rsidRDefault="00D63B29" w:rsidP="00DA44FA">
      <w:pPr>
        <w:ind w:left="-709" w:right="-532" w:firstLine="1429"/>
        <w:contextualSpacing/>
        <w:rPr>
          <w:rFonts w:asciiTheme="majorHAnsi" w:hAnsiTheme="majorHAnsi" w:cs="Arial"/>
          <w:sz w:val="20"/>
          <w:szCs w:val="20"/>
        </w:rPr>
      </w:pPr>
    </w:p>
    <w:p w14:paraId="750EE7D4" w14:textId="6D33E9DC" w:rsidR="00107877" w:rsidRDefault="00F02C85" w:rsidP="00DA44FA">
      <w:pPr>
        <w:ind w:left="-709" w:right="-532"/>
        <w:contextualSpacing/>
        <w:rPr>
          <w:rFonts w:asciiTheme="majorHAnsi" w:hAnsiTheme="majorHAnsi" w:cs="Arial"/>
          <w:sz w:val="20"/>
          <w:szCs w:val="20"/>
        </w:rPr>
      </w:pPr>
      <w:r w:rsidRPr="00BA032E">
        <w:rPr>
          <w:rFonts w:asciiTheme="majorHAnsi" w:hAnsiTheme="majorHAnsi" w:cs="Arial"/>
          <w:sz w:val="20"/>
          <w:szCs w:val="20"/>
        </w:rPr>
        <w:t xml:space="preserve">A 70 year-old man presents with infective exacerbation of severe chronic obstructive pulmonary disease (COPD). The patient has baseline chronic hypoxia and respiratory failure, leading to carbon dioxide retention. </w:t>
      </w:r>
      <w:r w:rsidR="00DB54F2" w:rsidRPr="00BA032E">
        <w:rPr>
          <w:rFonts w:asciiTheme="majorHAnsi" w:hAnsiTheme="majorHAnsi" w:cs="Arial"/>
          <w:sz w:val="20"/>
          <w:szCs w:val="20"/>
        </w:rPr>
        <w:t xml:space="preserve">Complete the following table on </w:t>
      </w:r>
      <w:r w:rsidR="00E676AB" w:rsidRPr="00BA032E">
        <w:rPr>
          <w:rFonts w:asciiTheme="majorHAnsi" w:hAnsiTheme="majorHAnsi" w:cs="Arial"/>
          <w:sz w:val="20"/>
          <w:szCs w:val="20"/>
        </w:rPr>
        <w:t xml:space="preserve">features </w:t>
      </w:r>
      <w:r w:rsidRPr="00BA032E">
        <w:rPr>
          <w:rFonts w:asciiTheme="majorHAnsi" w:hAnsiTheme="majorHAnsi" w:cs="Arial"/>
          <w:sz w:val="20"/>
          <w:szCs w:val="20"/>
        </w:rPr>
        <w:t>of treatment options for this patient’s respiratory condition</w:t>
      </w:r>
      <w:r w:rsidR="00E676AB" w:rsidRPr="00BA032E">
        <w:rPr>
          <w:rFonts w:asciiTheme="majorHAnsi" w:hAnsiTheme="majorHAnsi" w:cs="Arial"/>
          <w:sz w:val="20"/>
          <w:szCs w:val="20"/>
        </w:rPr>
        <w:t>.</w:t>
      </w:r>
      <w:r w:rsidRPr="00BA032E">
        <w:rPr>
          <w:rFonts w:asciiTheme="majorHAnsi" w:hAnsiTheme="majorHAnsi" w:cs="Arial"/>
          <w:sz w:val="20"/>
          <w:szCs w:val="20"/>
        </w:rPr>
        <w:t xml:space="preserve"> Assume there are no contraindications to each option.</w:t>
      </w:r>
      <w:r w:rsidR="00E676AB" w:rsidRPr="00BA032E">
        <w:rPr>
          <w:rFonts w:asciiTheme="majorHAnsi" w:hAnsiTheme="majorHAnsi" w:cs="Arial"/>
          <w:sz w:val="20"/>
          <w:szCs w:val="20"/>
        </w:rPr>
        <w:t xml:space="preserve"> Use point form and/or short phrases.</w:t>
      </w:r>
      <w:r w:rsidR="00BA032E" w:rsidRPr="00BA032E">
        <w:rPr>
          <w:rFonts w:asciiTheme="majorHAnsi" w:hAnsiTheme="majorHAnsi" w:cs="Arial"/>
          <w:sz w:val="20"/>
          <w:szCs w:val="20"/>
        </w:rPr>
        <w:t xml:space="preserve"> Each cell should have 3</w:t>
      </w:r>
      <w:r w:rsidRPr="00BA032E">
        <w:rPr>
          <w:rFonts w:asciiTheme="majorHAnsi" w:hAnsiTheme="majorHAnsi" w:cs="Arial"/>
          <w:sz w:val="20"/>
          <w:szCs w:val="20"/>
        </w:rPr>
        <w:t xml:space="preserve"> items.</w:t>
      </w:r>
    </w:p>
    <w:p w14:paraId="078A8A63" w14:textId="77777777" w:rsidR="000A5A36" w:rsidRPr="00BA032E" w:rsidRDefault="000A5A36" w:rsidP="000A5A36">
      <w:pPr>
        <w:ind w:left="-709" w:right="-532"/>
        <w:contextualSpacing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451"/>
        <w:gridCol w:w="4787"/>
        <w:gridCol w:w="4253"/>
      </w:tblGrid>
      <w:tr w:rsidR="00BA032E" w:rsidRPr="00E161E1" w14:paraId="72EDAEF5" w14:textId="373E9C76" w:rsidTr="00BA032E">
        <w:tc>
          <w:tcPr>
            <w:tcW w:w="1451" w:type="dxa"/>
          </w:tcPr>
          <w:p w14:paraId="3683C725" w14:textId="7ABED88F" w:rsidR="00BA032E" w:rsidRPr="00E676AB" w:rsidRDefault="00BA032E" w:rsidP="000A5A36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14:paraId="787BA869" w14:textId="512DE1F0" w:rsidR="00BA032E" w:rsidRPr="00E161E1" w:rsidRDefault="00BA032E" w:rsidP="000A5A36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Advantages</w:t>
            </w:r>
          </w:p>
        </w:tc>
        <w:tc>
          <w:tcPr>
            <w:tcW w:w="4253" w:type="dxa"/>
          </w:tcPr>
          <w:p w14:paraId="3AF8B968" w14:textId="68418C87" w:rsidR="00BA032E" w:rsidRPr="00E161E1" w:rsidRDefault="00BA032E" w:rsidP="000A5A36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Adverse Effects</w:t>
            </w:r>
          </w:p>
        </w:tc>
      </w:tr>
      <w:tr w:rsidR="00BA032E" w:rsidRPr="00E161E1" w14:paraId="6FA7C66D" w14:textId="76AD847F" w:rsidTr="00BA032E">
        <w:tc>
          <w:tcPr>
            <w:tcW w:w="1451" w:type="dxa"/>
          </w:tcPr>
          <w:p w14:paraId="01A85065" w14:textId="4993CAE1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Salbutamol</w:t>
            </w:r>
          </w:p>
          <w:p w14:paraId="45B7341B" w14:textId="77777777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056C800" w14:textId="77777777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0F595C2" w14:textId="77777777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87E721" w14:textId="77777777" w:rsidR="00BA032E" w:rsidRPr="00E676AB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5DA2344" w14:textId="77777777" w:rsidR="00BA032E" w:rsidRPr="00E676AB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7B28E" w14:textId="77777777" w:rsidR="00BA032E" w:rsidRPr="00E676AB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5DE797" w14:textId="77777777" w:rsidR="00BA032E" w:rsidRPr="00E676AB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14:paraId="3A5C51AC" w14:textId="73A81C93" w:rsidR="00BA032E" w:rsidRDefault="00D63B29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Rapid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broncho</w:t>
            </w:r>
            <w:r w:rsidR="000A5A36">
              <w:rPr>
                <w:rFonts w:asciiTheme="majorHAnsi" w:hAnsiTheme="majorHAnsi" w:cs="Arial"/>
                <w:sz w:val="20"/>
                <w:szCs w:val="20"/>
              </w:rPr>
              <w:t>dilation</w:t>
            </w:r>
            <w:proofErr w:type="spellEnd"/>
          </w:p>
          <w:p w14:paraId="198B07D0" w14:textId="77777777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1DD67311" w14:textId="675CE121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Ease of use,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esp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in nebulized form, repeat,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titratable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dosing possible</w:t>
            </w:r>
          </w:p>
          <w:p w14:paraId="1DF73050" w14:textId="77777777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3301E2D0" w14:textId="20A36B2A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Versatile administration, with various routes: metered dose inhaler, nebulized, intravenous</w:t>
            </w:r>
          </w:p>
          <w:p w14:paraId="648A45A0" w14:textId="29659D9D" w:rsidR="000A5A36" w:rsidRPr="00E161E1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DE0A395" w14:textId="77777777" w:rsidR="00BA032E" w:rsidRPr="00D63B29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3B29">
              <w:rPr>
                <w:rFonts w:asciiTheme="majorHAnsi" w:hAnsiTheme="majorHAnsi" w:cs="Arial"/>
                <w:sz w:val="20"/>
                <w:szCs w:val="20"/>
              </w:rPr>
              <w:t xml:space="preserve">Tachycardia / </w:t>
            </w:r>
            <w:proofErr w:type="spellStart"/>
            <w:r w:rsidRPr="00D63B29">
              <w:rPr>
                <w:rFonts w:asciiTheme="majorHAnsi" w:hAnsiTheme="majorHAnsi" w:cs="Arial"/>
                <w:sz w:val="20"/>
                <w:szCs w:val="20"/>
              </w:rPr>
              <w:t>tachyarrhythmias</w:t>
            </w:r>
            <w:proofErr w:type="spellEnd"/>
          </w:p>
          <w:p w14:paraId="5DF06CAF" w14:textId="77777777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28DFEAF1" w14:textId="77777777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Hypokalaemia</w:t>
            </w:r>
            <w:proofErr w:type="spellEnd"/>
          </w:p>
          <w:p w14:paraId="3144DB6B" w14:textId="77777777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279DE6B0" w14:textId="0D9165B3" w:rsidR="000A5A36" w:rsidRPr="00E161E1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Tremor / anxiety</w:t>
            </w:r>
          </w:p>
        </w:tc>
      </w:tr>
      <w:tr w:rsidR="00BA032E" w:rsidRPr="00E161E1" w14:paraId="56C05485" w14:textId="7C276124" w:rsidTr="00BA032E">
        <w:tc>
          <w:tcPr>
            <w:tcW w:w="1451" w:type="dxa"/>
          </w:tcPr>
          <w:p w14:paraId="685EA495" w14:textId="14C726D0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Prednisolone</w:t>
            </w:r>
          </w:p>
          <w:p w14:paraId="082AD1CC" w14:textId="77777777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DBF252C" w14:textId="77777777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BBACB35" w14:textId="77777777" w:rsidR="00BA032E" w:rsidRPr="00E676AB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CD9DD09" w14:textId="77777777" w:rsidR="00BA032E" w:rsidRPr="00E676AB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D016807" w14:textId="77777777" w:rsidR="00BA032E" w:rsidRPr="00E676AB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74314C" w14:textId="77777777" w:rsidR="00BA032E" w:rsidRPr="00E676AB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14:paraId="4C5E240E" w14:textId="1837D45A" w:rsidR="00BA032E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Anti-inflammatory effect reduces degree of bronchospasm</w:t>
            </w:r>
            <w:r w:rsidR="0045658A">
              <w:rPr>
                <w:rFonts w:asciiTheme="majorHAnsi" w:hAnsiTheme="majorHAnsi" w:cs="Arial"/>
                <w:sz w:val="20"/>
                <w:szCs w:val="20"/>
              </w:rPr>
              <w:t xml:space="preserve"> – probably equal efficacy to parenteral steroids</w:t>
            </w:r>
          </w:p>
          <w:p w14:paraId="529A001B" w14:textId="77777777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23DA9695" w14:textId="77777777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Versatile dosing, dependent on previous dosing, illness severity and response to initial Rx</w:t>
            </w:r>
          </w:p>
          <w:p w14:paraId="13CF8815" w14:textId="77777777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0E93E117" w14:textId="76C8B987" w:rsidR="000A5A36" w:rsidRPr="00E161E1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Widely available – patient may self-initiate Rx prior to hospital presentation</w:t>
            </w:r>
          </w:p>
        </w:tc>
        <w:tc>
          <w:tcPr>
            <w:tcW w:w="4253" w:type="dxa"/>
          </w:tcPr>
          <w:p w14:paraId="68B71E77" w14:textId="77777777" w:rsidR="00BA032E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Immunosuppression – this patient likely to be on long term regime</w:t>
            </w:r>
          </w:p>
          <w:p w14:paraId="5418BBE2" w14:textId="77777777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2CADA241" w14:textId="77777777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Peptic ulcer disease</w:t>
            </w:r>
          </w:p>
          <w:p w14:paraId="1C36568E" w14:textId="77777777" w:rsidR="000A5A36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5A2EF6D6" w14:textId="5797FAE4" w:rsidR="000A5A36" w:rsidRPr="00E161E1" w:rsidRDefault="000A5A36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Hyperglycaemia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and/or unstable blood glucose</w:t>
            </w:r>
          </w:p>
        </w:tc>
      </w:tr>
      <w:tr w:rsidR="00BA032E" w:rsidRPr="00E161E1" w14:paraId="51E4EFD8" w14:textId="77777777" w:rsidTr="00BA032E">
        <w:tc>
          <w:tcPr>
            <w:tcW w:w="1451" w:type="dxa"/>
          </w:tcPr>
          <w:p w14:paraId="35B8F6CD" w14:textId="4BBB773D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Magnesium</w:t>
            </w:r>
          </w:p>
          <w:p w14:paraId="7C74691A" w14:textId="77777777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D43623" w14:textId="77777777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F0FB4A" w14:textId="77777777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5D4CBD2" w14:textId="3C22373C" w:rsidR="00BA032E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14:paraId="5A2D5F5C" w14:textId="77777777" w:rsidR="00BA032E" w:rsidRDefault="0045658A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Bronchodilator effect may potentiate actions of beta-2 agonists</w:t>
            </w:r>
          </w:p>
          <w:p w14:paraId="19B0213E" w14:textId="77777777" w:rsidR="00D63B29" w:rsidRDefault="00D63B29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4AB8CD17" w14:textId="77777777" w:rsidR="00D63B29" w:rsidRDefault="00D63B29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Widely available, inexpensive, easy to administer</w:t>
            </w:r>
          </w:p>
          <w:p w14:paraId="2EA0B9CF" w14:textId="77777777" w:rsidR="00D63B29" w:rsidRDefault="00D63B29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4F9BF601" w14:textId="66DE0762" w:rsidR="00D63B29" w:rsidRPr="00E161E1" w:rsidRDefault="00D63B29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May be given as IV dose, precluding risk of aspiration,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esp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if patient on NIPPV</w:t>
            </w:r>
          </w:p>
        </w:tc>
        <w:tc>
          <w:tcPr>
            <w:tcW w:w="4253" w:type="dxa"/>
          </w:tcPr>
          <w:p w14:paraId="30DA4C00" w14:textId="77777777" w:rsidR="00BA032E" w:rsidRDefault="0045658A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Hypotension</w:t>
            </w:r>
          </w:p>
          <w:p w14:paraId="41A26488" w14:textId="77777777" w:rsidR="0045658A" w:rsidRDefault="0045658A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6C48D93D" w14:textId="77777777" w:rsidR="0045658A" w:rsidRDefault="0045658A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Hypermagnesaemia</w:t>
            </w:r>
            <w:proofErr w:type="spellEnd"/>
          </w:p>
          <w:p w14:paraId="6F94BA27" w14:textId="77777777" w:rsidR="0045658A" w:rsidRDefault="0045658A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6559F314" w14:textId="77777777" w:rsidR="0045658A" w:rsidRDefault="0045658A" w:rsidP="0045658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CNS depression</w:t>
            </w:r>
          </w:p>
          <w:p w14:paraId="46CF335C" w14:textId="77777777" w:rsidR="0045658A" w:rsidRDefault="0045658A" w:rsidP="0045658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2D395F7A" w14:textId="316F58A9" w:rsidR="0045658A" w:rsidRPr="00E161E1" w:rsidRDefault="0045658A" w:rsidP="0045658A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(This list is long!)</w:t>
            </w:r>
          </w:p>
        </w:tc>
      </w:tr>
      <w:tr w:rsidR="00BA032E" w:rsidRPr="00E161E1" w14:paraId="0DC62838" w14:textId="186374DF" w:rsidTr="00BA032E">
        <w:tc>
          <w:tcPr>
            <w:tcW w:w="1451" w:type="dxa"/>
          </w:tcPr>
          <w:p w14:paraId="58129196" w14:textId="12166005" w:rsidR="00BA032E" w:rsidRPr="00E676AB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Non-invasi</w:t>
            </w:r>
            <w:r w:rsidR="0045658A">
              <w:rPr>
                <w:rFonts w:asciiTheme="majorHAnsi" w:hAnsiTheme="majorHAnsi" w:cs="Arial"/>
                <w:b/>
                <w:sz w:val="20"/>
                <w:szCs w:val="20"/>
              </w:rPr>
              <w:t>ve Positive Pressure Ventilation</w:t>
            </w:r>
          </w:p>
          <w:p w14:paraId="07CCD02A" w14:textId="77777777" w:rsidR="00BA032E" w:rsidRPr="00E676AB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7757EC" w14:textId="77777777" w:rsidR="00BA032E" w:rsidRPr="00E676AB" w:rsidRDefault="00BA032E" w:rsidP="000A5A3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14:paraId="107E7508" w14:textId="77777777" w:rsidR="00344A64" w:rsidRDefault="00344A64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Well documented evidence that NIPPV reduces need for invasive endotracheal intubation and mortality</w:t>
            </w:r>
          </w:p>
          <w:p w14:paraId="5E5C637C" w14:textId="77777777" w:rsidR="00344A64" w:rsidRDefault="00344A64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1E361433" w14:textId="77777777" w:rsidR="00344A64" w:rsidRDefault="00344A64" w:rsidP="00344A6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Reduces risk of hypoventilation secondary to high FiO</w:t>
            </w:r>
            <w:r w:rsidRPr="00344A64">
              <w:rPr>
                <w:rFonts w:asciiTheme="majorHAnsi" w:hAnsiTheme="majorHAnsi" w:cs="Arial"/>
                <w:sz w:val="20"/>
                <w:szCs w:val="20"/>
                <w:vertAlign w:val="subscript"/>
              </w:rPr>
              <w:t>2</w:t>
            </w:r>
          </w:p>
          <w:p w14:paraId="1BB1BB07" w14:textId="77777777" w:rsidR="00344A64" w:rsidRDefault="00344A64" w:rsidP="00344A6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37E05DCC" w14:textId="28D59CC7" w:rsidR="00344A64" w:rsidRPr="00344A64" w:rsidRDefault="00344A64" w:rsidP="00344A6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Versatility in options: CPAP and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BiPAP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, each with varying</w:t>
            </w:r>
            <w:r w:rsidR="0045658A">
              <w:rPr>
                <w:rFonts w:asciiTheme="majorHAnsi" w:hAnsiTheme="majorHAnsi" w:cs="Arial"/>
                <w:sz w:val="20"/>
                <w:szCs w:val="20"/>
              </w:rPr>
              <w:t xml:space="preserve"> pressures, </w:t>
            </w:r>
            <w:proofErr w:type="spellStart"/>
            <w:r w:rsidR="0045658A">
              <w:rPr>
                <w:rFonts w:asciiTheme="majorHAnsi" w:hAnsiTheme="majorHAnsi" w:cs="Arial"/>
                <w:sz w:val="20"/>
                <w:szCs w:val="20"/>
              </w:rPr>
              <w:t>titratable</w:t>
            </w:r>
            <w:proofErr w:type="spellEnd"/>
            <w:r w:rsidR="0045658A">
              <w:rPr>
                <w:rFonts w:asciiTheme="majorHAnsi" w:hAnsiTheme="majorHAnsi" w:cs="Arial"/>
                <w:sz w:val="20"/>
                <w:szCs w:val="20"/>
              </w:rPr>
              <w:t xml:space="preserve"> to clinical response</w:t>
            </w:r>
          </w:p>
        </w:tc>
        <w:tc>
          <w:tcPr>
            <w:tcW w:w="4253" w:type="dxa"/>
          </w:tcPr>
          <w:p w14:paraId="49646DBB" w14:textId="77777777" w:rsidR="00BA032E" w:rsidRDefault="0045658A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Uncomfortable, tight-fitting face mask reduces compliance</w:t>
            </w:r>
          </w:p>
          <w:p w14:paraId="2CD26B10" w14:textId="77777777" w:rsidR="0045658A" w:rsidRDefault="0045658A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65717A26" w14:textId="77777777" w:rsidR="0045658A" w:rsidRDefault="0045658A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Risk of gastric aspiration</w:t>
            </w:r>
          </w:p>
          <w:p w14:paraId="4D67F2B3" w14:textId="77777777" w:rsidR="0045658A" w:rsidRDefault="0045658A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44BFD11D" w14:textId="6AF07DC8" w:rsidR="0045658A" w:rsidRPr="00E161E1" w:rsidRDefault="0045658A" w:rsidP="000A5A36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Baro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volutrauma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– causing pneumothorax</w:t>
            </w:r>
          </w:p>
        </w:tc>
      </w:tr>
    </w:tbl>
    <w:p w14:paraId="0F813483" w14:textId="7C1F7020" w:rsidR="009B39B2" w:rsidRPr="00D63B29" w:rsidRDefault="00D63B29" w:rsidP="000A5A36">
      <w:pPr>
        <w:ind w:left="-709"/>
        <w:contextualSpacing/>
        <w:rPr>
          <w:rFonts w:asciiTheme="majorHAnsi" w:hAnsiTheme="majorHAnsi"/>
          <w:i/>
          <w:sz w:val="20"/>
          <w:szCs w:val="20"/>
        </w:rPr>
      </w:pPr>
      <w:proofErr w:type="gramStart"/>
      <w:r w:rsidRPr="00D63B29">
        <w:rPr>
          <w:rFonts w:asciiTheme="majorHAnsi" w:hAnsiTheme="majorHAnsi"/>
          <w:i/>
          <w:sz w:val="20"/>
          <w:szCs w:val="20"/>
        </w:rPr>
        <w:t>3 marks for each cell, totaling 24.</w:t>
      </w:r>
      <w:proofErr w:type="gramEnd"/>
      <w:r w:rsidRPr="00D63B29">
        <w:rPr>
          <w:rFonts w:asciiTheme="majorHAnsi" w:hAnsiTheme="majorHAnsi"/>
          <w:i/>
          <w:sz w:val="20"/>
          <w:szCs w:val="20"/>
        </w:rPr>
        <w:t xml:space="preserve"> </w:t>
      </w:r>
    </w:p>
    <w:p w14:paraId="0513A08D" w14:textId="77777777" w:rsidR="00D63B29" w:rsidRPr="00D63B29" w:rsidRDefault="00D63B29" w:rsidP="000A5A36">
      <w:pPr>
        <w:ind w:left="-709"/>
        <w:contextualSpacing/>
        <w:rPr>
          <w:rFonts w:asciiTheme="majorHAnsi" w:hAnsiTheme="majorHAnsi"/>
          <w:i/>
          <w:sz w:val="20"/>
          <w:szCs w:val="20"/>
        </w:rPr>
      </w:pPr>
    </w:p>
    <w:p w14:paraId="5D02FC57" w14:textId="0DED9352" w:rsidR="00D63B29" w:rsidRDefault="00D63B29" w:rsidP="000A5A36">
      <w:pPr>
        <w:ind w:left="-709"/>
        <w:contextualSpacing/>
        <w:rPr>
          <w:rFonts w:asciiTheme="majorHAnsi" w:hAnsiTheme="majorHAnsi"/>
          <w:i/>
          <w:sz w:val="20"/>
          <w:szCs w:val="20"/>
        </w:rPr>
      </w:pPr>
      <w:r w:rsidRPr="00D63B29">
        <w:rPr>
          <w:rFonts w:asciiTheme="majorHAnsi" w:hAnsiTheme="majorHAnsi"/>
          <w:i/>
          <w:sz w:val="20"/>
          <w:szCs w:val="20"/>
        </w:rPr>
        <w:t xml:space="preserve">Some cells have many more than 3 correct answers. A broad range is accepted, provided options have clinical relevance, and can be referenced. </w:t>
      </w:r>
      <w:proofErr w:type="gramStart"/>
      <w:r w:rsidRPr="00D63B29">
        <w:rPr>
          <w:rFonts w:asciiTheme="majorHAnsi" w:hAnsiTheme="majorHAnsi"/>
          <w:i/>
          <w:sz w:val="20"/>
          <w:szCs w:val="20"/>
        </w:rPr>
        <w:t>Sections on Mg is</w:t>
      </w:r>
      <w:proofErr w:type="gramEnd"/>
      <w:r w:rsidRPr="00D63B29">
        <w:rPr>
          <w:rFonts w:asciiTheme="majorHAnsi" w:hAnsiTheme="majorHAnsi"/>
          <w:i/>
          <w:sz w:val="20"/>
          <w:szCs w:val="20"/>
        </w:rPr>
        <w:t xml:space="preserve"> tougher, so leniency employed when marking that particular row.</w:t>
      </w:r>
    </w:p>
    <w:p w14:paraId="298664DC" w14:textId="2C6E9DA7" w:rsidR="00D63B29" w:rsidRPr="00D63B29" w:rsidRDefault="00D63B29" w:rsidP="000A5A36">
      <w:pPr>
        <w:ind w:left="-709"/>
        <w:contextualSpacing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Answers have to be applicable to THIS patient (as instructed), so answers such as “risk in pregnancy” or “</w:t>
      </w:r>
      <w:bookmarkStart w:id="0" w:name="_GoBack"/>
      <w:bookmarkEnd w:id="0"/>
      <w:r>
        <w:rPr>
          <w:rFonts w:asciiTheme="majorHAnsi" w:hAnsiTheme="majorHAnsi"/>
          <w:i/>
          <w:sz w:val="20"/>
          <w:szCs w:val="20"/>
        </w:rPr>
        <w:t>compromises fertility” earn no marks.</w:t>
      </w:r>
    </w:p>
    <w:p w14:paraId="39AC27F6" w14:textId="77777777" w:rsidR="00D63B29" w:rsidRDefault="00D63B29" w:rsidP="000A5A36">
      <w:pPr>
        <w:ind w:left="-709"/>
        <w:contextualSpacing/>
        <w:rPr>
          <w:rFonts w:asciiTheme="majorHAnsi" w:hAnsiTheme="majorHAnsi"/>
          <w:sz w:val="20"/>
          <w:szCs w:val="20"/>
        </w:rPr>
      </w:pPr>
    </w:p>
    <w:p w14:paraId="1C85CE81" w14:textId="7E831042" w:rsidR="00D63B29" w:rsidRPr="00D63B29" w:rsidRDefault="00D63B29" w:rsidP="000A5A36">
      <w:pPr>
        <w:ind w:left="-709"/>
        <w:contextualSpacing/>
        <w:rPr>
          <w:rFonts w:asciiTheme="majorHAnsi" w:hAnsiTheme="majorHAnsi"/>
          <w:b/>
          <w:i/>
          <w:sz w:val="20"/>
          <w:szCs w:val="20"/>
        </w:rPr>
      </w:pPr>
      <w:r w:rsidRPr="00D63B29">
        <w:rPr>
          <w:rFonts w:asciiTheme="majorHAnsi" w:hAnsiTheme="majorHAnsi"/>
          <w:b/>
          <w:i/>
          <w:sz w:val="20"/>
          <w:szCs w:val="20"/>
        </w:rPr>
        <w:t>All sections except for Mg considered easy. Borderline candidates expected to get at least 2 in each of these 6 cells. Therefore, overall borderline mark is 12/24.</w:t>
      </w:r>
    </w:p>
    <w:sectPr w:rsidR="00D63B29" w:rsidRPr="00D63B29" w:rsidSect="00DA44FA">
      <w:pgSz w:w="11900" w:h="16840"/>
      <w:pgMar w:top="426" w:right="180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E2"/>
    <w:multiLevelType w:val="hybridMultilevel"/>
    <w:tmpl w:val="A13E436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4C59F8"/>
    <w:multiLevelType w:val="hybridMultilevel"/>
    <w:tmpl w:val="A4CEFB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EAC0749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FC77FBE"/>
    <w:multiLevelType w:val="hybridMultilevel"/>
    <w:tmpl w:val="E56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0537"/>
    <w:multiLevelType w:val="hybridMultilevel"/>
    <w:tmpl w:val="F852F7F6"/>
    <w:lvl w:ilvl="0" w:tplc="E74CE1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8"/>
    <w:rsid w:val="0004101B"/>
    <w:rsid w:val="000A5A36"/>
    <w:rsid w:val="00107877"/>
    <w:rsid w:val="00344A64"/>
    <w:rsid w:val="003903AB"/>
    <w:rsid w:val="003C6158"/>
    <w:rsid w:val="003F4F5F"/>
    <w:rsid w:val="0045658A"/>
    <w:rsid w:val="004B5F55"/>
    <w:rsid w:val="00950BFD"/>
    <w:rsid w:val="00997014"/>
    <w:rsid w:val="009A03A2"/>
    <w:rsid w:val="009B39B2"/>
    <w:rsid w:val="00A32882"/>
    <w:rsid w:val="00AE3735"/>
    <w:rsid w:val="00B83236"/>
    <w:rsid w:val="00BA032E"/>
    <w:rsid w:val="00D63B29"/>
    <w:rsid w:val="00DA44FA"/>
    <w:rsid w:val="00DB54F2"/>
    <w:rsid w:val="00E161E1"/>
    <w:rsid w:val="00E676AB"/>
    <w:rsid w:val="00E9224E"/>
    <w:rsid w:val="00EC598B"/>
    <w:rsid w:val="00F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C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Liew</dc:creator>
  <cp:keywords/>
  <dc:description/>
  <cp:lastModifiedBy>Don Liew</cp:lastModifiedBy>
  <cp:revision>6</cp:revision>
  <dcterms:created xsi:type="dcterms:W3CDTF">2015-02-02T08:53:00Z</dcterms:created>
  <dcterms:modified xsi:type="dcterms:W3CDTF">2015-02-02T10:29:00Z</dcterms:modified>
</cp:coreProperties>
</file>