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BE47C" w14:textId="33B75184" w:rsidR="00E9224E" w:rsidRDefault="004B5F55" w:rsidP="004D2245">
      <w:pPr>
        <w:ind w:hanging="709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E161E1">
        <w:rPr>
          <w:rFonts w:asciiTheme="majorHAnsi" w:hAnsiTheme="majorHAnsi"/>
          <w:b/>
          <w:sz w:val="20"/>
          <w:szCs w:val="20"/>
        </w:rPr>
        <w:t>SAQ 23</w:t>
      </w:r>
    </w:p>
    <w:p w14:paraId="6E819580" w14:textId="1B4DB716" w:rsidR="00B04627" w:rsidRDefault="00B04627" w:rsidP="004D2245">
      <w:pPr>
        <w:ind w:hanging="709"/>
        <w:contextualSpacing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References</w:t>
      </w:r>
    </w:p>
    <w:p w14:paraId="0F757CCB" w14:textId="5B9CC587" w:rsidR="00B04627" w:rsidRDefault="00FF49A8" w:rsidP="004D2245">
      <w:pPr>
        <w:pStyle w:val="ListParagraph"/>
        <w:numPr>
          <w:ilvl w:val="0"/>
          <w:numId w:val="6"/>
        </w:numPr>
        <w:ind w:left="-426" w:hanging="283"/>
        <w:rPr>
          <w:rFonts w:asciiTheme="majorHAnsi" w:hAnsiTheme="majorHAnsi"/>
          <w:sz w:val="20"/>
          <w:szCs w:val="20"/>
        </w:rPr>
      </w:pPr>
      <w:hyperlink r:id="rId6" w:history="1">
        <w:r w:rsidRPr="00C34F44">
          <w:rPr>
            <w:rStyle w:val="Hyperlink"/>
            <w:rFonts w:asciiTheme="majorHAnsi" w:hAnsiTheme="majorHAnsi"/>
            <w:sz w:val="20"/>
            <w:szCs w:val="20"/>
          </w:rPr>
          <w:t>https://www.acem.org.au/getattachment/d19d5ad3-e1f4-4e4f-bf83-7e09cae27d76/G24-Implementation-of-the-Australasian-Triage-Scal.aspx</w:t>
        </w:r>
      </w:hyperlink>
      <w:r w:rsidRPr="00C34F44">
        <w:rPr>
          <w:rFonts w:asciiTheme="majorHAnsi" w:hAnsiTheme="majorHAnsi"/>
          <w:sz w:val="20"/>
          <w:szCs w:val="20"/>
        </w:rPr>
        <w:t xml:space="preserve"> </w:t>
      </w:r>
      <w:r w:rsidRPr="00C34F44">
        <w:rPr>
          <w:rFonts w:asciiTheme="majorHAnsi" w:hAnsiTheme="majorHAnsi"/>
          <w:sz w:val="20"/>
          <w:szCs w:val="20"/>
        </w:rPr>
        <w:tab/>
        <w:t>Accessed 28th Jan 2015</w:t>
      </w:r>
    </w:p>
    <w:p w14:paraId="20C04582" w14:textId="65CFF196" w:rsidR="00C34F44" w:rsidRPr="00C34F44" w:rsidRDefault="00C34F44" w:rsidP="004D2245">
      <w:pPr>
        <w:pStyle w:val="ListParagraph"/>
        <w:numPr>
          <w:ilvl w:val="0"/>
          <w:numId w:val="6"/>
        </w:numPr>
        <w:ind w:left="-426" w:hanging="283"/>
        <w:rPr>
          <w:rFonts w:asciiTheme="majorHAnsi" w:hAnsiTheme="majorHAnsi"/>
          <w:sz w:val="20"/>
          <w:szCs w:val="20"/>
        </w:rPr>
      </w:pPr>
      <w:hyperlink r:id="rId7" w:history="1">
        <w:r w:rsidRPr="003927F7">
          <w:rPr>
            <w:rStyle w:val="Hyperlink"/>
            <w:rFonts w:asciiTheme="majorHAnsi" w:hAnsiTheme="majorHAnsi"/>
            <w:sz w:val="20"/>
            <w:szCs w:val="20"/>
          </w:rPr>
          <w:t>https://www.acem.org.au/getattachment/693998d7-94be-4ca7-a0e7-3d74cc9b733f/Policy-on-the-Australasian-Triage-Scale.aspx</w:t>
        </w:r>
      </w:hyperlink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>Accessed 28</w:t>
      </w:r>
      <w:r w:rsidRPr="00C34F44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Jan 2015</w:t>
      </w:r>
    </w:p>
    <w:p w14:paraId="610D3C3C" w14:textId="1EB9295F" w:rsidR="00C34F44" w:rsidRPr="00C34F44" w:rsidRDefault="00C34F44" w:rsidP="004D2245">
      <w:pPr>
        <w:pStyle w:val="ListParagraph"/>
        <w:numPr>
          <w:ilvl w:val="0"/>
          <w:numId w:val="6"/>
        </w:numPr>
        <w:ind w:left="-426" w:hanging="283"/>
        <w:rPr>
          <w:rFonts w:asciiTheme="majorHAnsi" w:hAnsiTheme="majorHAnsi"/>
          <w:sz w:val="20"/>
          <w:szCs w:val="20"/>
        </w:rPr>
      </w:pPr>
      <w:r w:rsidRPr="00C34F44">
        <w:rPr>
          <w:rFonts w:asciiTheme="majorHAnsi" w:hAnsiTheme="majorHAnsi"/>
          <w:sz w:val="20"/>
          <w:szCs w:val="20"/>
        </w:rPr>
        <w:t>Cameron p. 861 - 864</w:t>
      </w:r>
    </w:p>
    <w:p w14:paraId="57DE28C7" w14:textId="77777777" w:rsidR="00FF49A8" w:rsidRPr="00FF49A8" w:rsidRDefault="00FF49A8" w:rsidP="004D2245">
      <w:pPr>
        <w:ind w:left="-709"/>
        <w:contextualSpacing/>
        <w:rPr>
          <w:rFonts w:asciiTheme="majorHAnsi" w:hAnsiTheme="majorHAnsi"/>
          <w:sz w:val="20"/>
          <w:szCs w:val="20"/>
        </w:rPr>
      </w:pPr>
    </w:p>
    <w:p w14:paraId="750EE7D4" w14:textId="3F050565" w:rsidR="00107877" w:rsidRDefault="00DB54F2" w:rsidP="004D2245">
      <w:pPr>
        <w:pStyle w:val="ListParagraph"/>
        <w:numPr>
          <w:ilvl w:val="0"/>
          <w:numId w:val="5"/>
        </w:numPr>
        <w:ind w:left="-426" w:hanging="283"/>
        <w:rPr>
          <w:rFonts w:asciiTheme="majorHAnsi" w:hAnsiTheme="majorHAnsi" w:cs="Arial"/>
          <w:b/>
          <w:sz w:val="20"/>
          <w:szCs w:val="20"/>
        </w:rPr>
      </w:pPr>
      <w:r w:rsidRPr="00E161E1">
        <w:rPr>
          <w:rFonts w:asciiTheme="majorHAnsi" w:hAnsiTheme="majorHAnsi" w:cs="Arial"/>
          <w:b/>
          <w:sz w:val="20"/>
          <w:szCs w:val="20"/>
        </w:rPr>
        <w:t>Complete the following table on the Australasian Triage Scale (ATS):</w:t>
      </w:r>
    </w:p>
    <w:p w14:paraId="02C5AAB0" w14:textId="76E6EB4E" w:rsidR="00FF49A8" w:rsidRPr="00FF49A8" w:rsidRDefault="00FF49A8" w:rsidP="004D2245">
      <w:pPr>
        <w:ind w:left="-709"/>
        <w:contextualSpacing/>
        <w:rPr>
          <w:rFonts w:asciiTheme="majorHAnsi" w:hAnsiTheme="majorHAnsi" w:cs="Arial"/>
          <w:i/>
          <w:sz w:val="20"/>
          <w:szCs w:val="20"/>
        </w:rPr>
      </w:pPr>
      <w:proofErr w:type="gramStart"/>
      <w:r w:rsidRPr="00FF49A8">
        <w:rPr>
          <w:rFonts w:asciiTheme="majorHAnsi" w:hAnsiTheme="majorHAnsi" w:cs="Arial"/>
          <w:i/>
          <w:sz w:val="20"/>
          <w:szCs w:val="20"/>
        </w:rPr>
        <w:t>One mark for each cell below.</w:t>
      </w:r>
      <w:proofErr w:type="gramEnd"/>
      <w:r w:rsidRPr="00FF49A8"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gramStart"/>
      <w:r w:rsidRPr="00FF49A8">
        <w:rPr>
          <w:rFonts w:asciiTheme="majorHAnsi" w:hAnsiTheme="majorHAnsi" w:cs="Arial"/>
          <w:i/>
          <w:sz w:val="20"/>
          <w:szCs w:val="20"/>
        </w:rPr>
        <w:t>20 marks total.</w:t>
      </w:r>
      <w:proofErr w:type="gramEnd"/>
      <w:r>
        <w:rPr>
          <w:rFonts w:asciiTheme="majorHAnsi" w:hAnsiTheme="majorHAnsi" w:cs="Arial"/>
          <w:i/>
          <w:sz w:val="20"/>
          <w:szCs w:val="20"/>
        </w:rPr>
        <w:t xml:space="preserve"> </w:t>
      </w:r>
      <w:r w:rsidR="004D2245">
        <w:rPr>
          <w:rFonts w:asciiTheme="majorHAnsi" w:hAnsiTheme="majorHAnsi" w:cs="Arial"/>
          <w:i/>
          <w:sz w:val="20"/>
          <w:szCs w:val="20"/>
        </w:rPr>
        <w:t xml:space="preserve">Borderline mark is 15. </w:t>
      </w:r>
      <w:r>
        <w:rPr>
          <w:rFonts w:asciiTheme="majorHAnsi" w:hAnsiTheme="majorHAnsi" w:cs="Arial"/>
          <w:i/>
          <w:sz w:val="20"/>
          <w:szCs w:val="20"/>
        </w:rPr>
        <w:t xml:space="preserve">Bits in red (or similar </w:t>
      </w:r>
      <w:r w:rsidR="00C34F44">
        <w:rPr>
          <w:rFonts w:asciiTheme="majorHAnsi" w:hAnsiTheme="majorHAnsi" w:cs="Arial"/>
          <w:i/>
          <w:sz w:val="20"/>
          <w:szCs w:val="20"/>
        </w:rPr>
        <w:t>concept) n</w:t>
      </w:r>
      <w:r w:rsidR="004D2245">
        <w:rPr>
          <w:rFonts w:asciiTheme="majorHAnsi" w:hAnsiTheme="majorHAnsi" w:cs="Arial"/>
          <w:i/>
          <w:sz w:val="20"/>
          <w:szCs w:val="20"/>
        </w:rPr>
        <w:t>eeded to score borderline mark. Significant l</w:t>
      </w:r>
      <w:r w:rsidR="00C34F44">
        <w:rPr>
          <w:rFonts w:asciiTheme="majorHAnsi" w:hAnsiTheme="majorHAnsi" w:cs="Arial"/>
          <w:i/>
          <w:sz w:val="20"/>
          <w:szCs w:val="20"/>
        </w:rPr>
        <w:t xml:space="preserve">eeway </w:t>
      </w:r>
      <w:r w:rsidR="004D2245">
        <w:rPr>
          <w:rFonts w:asciiTheme="majorHAnsi" w:hAnsiTheme="majorHAnsi" w:cs="Arial"/>
          <w:i/>
          <w:sz w:val="20"/>
          <w:szCs w:val="20"/>
        </w:rPr>
        <w:t>granted</w:t>
      </w:r>
      <w:r w:rsidR="00C34F44">
        <w:rPr>
          <w:rFonts w:asciiTheme="majorHAnsi" w:hAnsiTheme="majorHAnsi" w:cs="Arial"/>
          <w:i/>
          <w:sz w:val="20"/>
          <w:szCs w:val="20"/>
        </w:rPr>
        <w:t xml:space="preserve"> in last column, given subjective nature of triage, EXCEPT the arr</w:t>
      </w:r>
      <w:r w:rsidR="004D2245">
        <w:rPr>
          <w:rFonts w:asciiTheme="majorHAnsi" w:hAnsiTheme="majorHAnsi" w:cs="Arial"/>
          <w:i/>
          <w:sz w:val="20"/>
          <w:szCs w:val="20"/>
        </w:rPr>
        <w:t>ested patient has to be a Cat 1 descriptor!</w:t>
      </w: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885"/>
        <w:gridCol w:w="1101"/>
        <w:gridCol w:w="3118"/>
        <w:gridCol w:w="5387"/>
      </w:tblGrid>
      <w:tr w:rsidR="00E161E1" w:rsidRPr="00FF49A8" w14:paraId="72EDAEF5" w14:textId="373E9C76" w:rsidTr="00C34F44">
        <w:tc>
          <w:tcPr>
            <w:tcW w:w="885" w:type="dxa"/>
          </w:tcPr>
          <w:p w14:paraId="3683C725" w14:textId="15786245" w:rsidR="00DB54F2" w:rsidRPr="00FF49A8" w:rsidRDefault="00DB54F2" w:rsidP="004D2245">
            <w:pPr>
              <w:contextualSpacing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F49A8">
              <w:rPr>
                <w:rFonts w:asciiTheme="majorHAnsi" w:hAnsiTheme="majorHAnsi" w:cs="Arial"/>
                <w:b/>
                <w:sz w:val="18"/>
                <w:szCs w:val="18"/>
              </w:rPr>
              <w:t>Category</w:t>
            </w:r>
          </w:p>
        </w:tc>
        <w:tc>
          <w:tcPr>
            <w:tcW w:w="1101" w:type="dxa"/>
          </w:tcPr>
          <w:p w14:paraId="787BA869" w14:textId="21BD9DFD" w:rsidR="00DB54F2" w:rsidRPr="00FF49A8" w:rsidRDefault="00DB54F2" w:rsidP="004D2245">
            <w:pPr>
              <w:contextualSpacing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F49A8">
              <w:rPr>
                <w:rFonts w:asciiTheme="majorHAnsi" w:hAnsiTheme="majorHAnsi" w:cs="Arial"/>
                <w:b/>
                <w:sz w:val="18"/>
                <w:szCs w:val="18"/>
              </w:rPr>
              <w:t>Treatment Acuity</w:t>
            </w:r>
            <w:r w:rsidR="00E161E1" w:rsidRPr="00FF49A8">
              <w:rPr>
                <w:rFonts w:asciiTheme="majorHAnsi" w:hAnsiTheme="majorHAnsi" w:cs="Arial"/>
                <w:b/>
                <w:sz w:val="18"/>
                <w:szCs w:val="18"/>
              </w:rPr>
              <w:t>*</w:t>
            </w:r>
          </w:p>
        </w:tc>
        <w:tc>
          <w:tcPr>
            <w:tcW w:w="3118" w:type="dxa"/>
          </w:tcPr>
          <w:p w14:paraId="3AF8B968" w14:textId="7814DFFD" w:rsidR="00DB54F2" w:rsidRPr="00FF49A8" w:rsidRDefault="00DB54F2" w:rsidP="004D2245">
            <w:pPr>
              <w:contextualSpacing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F49A8">
              <w:rPr>
                <w:rFonts w:asciiTheme="majorHAnsi" w:hAnsiTheme="majorHAnsi" w:cs="Arial"/>
                <w:b/>
                <w:sz w:val="18"/>
                <w:szCs w:val="18"/>
              </w:rPr>
              <w:t>Description of Category</w:t>
            </w:r>
          </w:p>
        </w:tc>
        <w:tc>
          <w:tcPr>
            <w:tcW w:w="5387" w:type="dxa"/>
          </w:tcPr>
          <w:p w14:paraId="7805196E" w14:textId="1EBEB95F" w:rsidR="00DB54F2" w:rsidRPr="00FF49A8" w:rsidRDefault="00E161E1" w:rsidP="004D2245">
            <w:pPr>
              <w:contextualSpacing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F49A8">
              <w:rPr>
                <w:rFonts w:asciiTheme="majorHAnsi" w:hAnsiTheme="majorHAnsi" w:cs="Arial"/>
                <w:b/>
                <w:sz w:val="18"/>
                <w:szCs w:val="18"/>
              </w:rPr>
              <w:t>Clinical Descriptors (indicative only)</w:t>
            </w:r>
          </w:p>
        </w:tc>
      </w:tr>
      <w:tr w:rsidR="00E161E1" w:rsidRPr="00FF49A8" w14:paraId="6FA7C66D" w14:textId="76AD847F" w:rsidTr="00C34F44">
        <w:tc>
          <w:tcPr>
            <w:tcW w:w="885" w:type="dxa"/>
          </w:tcPr>
          <w:p w14:paraId="01A85065" w14:textId="0D15A920" w:rsidR="00DB54F2" w:rsidRPr="00FF49A8" w:rsidRDefault="00FF49A8" w:rsidP="004D2245">
            <w:pPr>
              <w:contextualSpacing/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  <w:r w:rsidRPr="00FF49A8"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  <w:t>1</w:t>
            </w:r>
          </w:p>
          <w:p w14:paraId="15DA2344" w14:textId="77777777" w:rsidR="00DB54F2" w:rsidRPr="00FF49A8" w:rsidRDefault="00DB54F2" w:rsidP="004D2245">
            <w:pPr>
              <w:contextualSpacing/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</w:p>
          <w:p w14:paraId="6C87B28E" w14:textId="77777777" w:rsidR="00E161E1" w:rsidRPr="00FF49A8" w:rsidRDefault="00E161E1" w:rsidP="004D2245">
            <w:pPr>
              <w:contextualSpacing/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</w:p>
          <w:p w14:paraId="235DE797" w14:textId="77777777" w:rsidR="00E161E1" w:rsidRPr="00FF49A8" w:rsidRDefault="00E161E1" w:rsidP="004D2245">
            <w:pPr>
              <w:contextualSpacing/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648A45A0" w14:textId="05BBB4D9" w:rsidR="00DB54F2" w:rsidRPr="00FF49A8" w:rsidRDefault="00FF49A8" w:rsidP="004D2245">
            <w:pPr>
              <w:contextualSpacing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FF49A8">
              <w:rPr>
                <w:rFonts w:asciiTheme="majorHAnsi" w:hAnsiTheme="majorHAnsi" w:cs="Arial"/>
                <w:color w:val="FF0000"/>
                <w:sz w:val="18"/>
                <w:szCs w:val="18"/>
              </w:rPr>
              <w:t>Immediate</w:t>
            </w:r>
          </w:p>
        </w:tc>
        <w:tc>
          <w:tcPr>
            <w:tcW w:w="3118" w:type="dxa"/>
          </w:tcPr>
          <w:p w14:paraId="279DE6B0" w14:textId="598CE60D" w:rsidR="00DB54F2" w:rsidRPr="00FF49A8" w:rsidRDefault="00FF49A8" w:rsidP="004D2245">
            <w:pPr>
              <w:contextualSpacing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FF49A8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  <w:lang w:val="en-AU"/>
              </w:rPr>
              <w:t>Immediately Life-Threatening Conditions</w:t>
            </w:r>
            <w:r w:rsidRPr="00FF49A8">
              <w:rPr>
                <w:rFonts w:asciiTheme="majorHAnsi" w:eastAsia="Times New Roman" w:hAnsiTheme="majorHAnsi" w:cs="Times New Roman"/>
                <w:color w:val="FF0000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5387" w:type="dxa"/>
          </w:tcPr>
          <w:p w14:paraId="0D6257A5" w14:textId="77777777" w:rsidR="00FF49A8" w:rsidRDefault="00FF49A8" w:rsidP="004D2245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Cardiac </w:t>
            </w:r>
            <w:r w:rsidRPr="00FF49A8">
              <w:rPr>
                <w:rFonts w:asciiTheme="majorHAnsi" w:eastAsia="Times New Roman" w:hAnsiTheme="majorHAnsi" w:cs="Times New Roman"/>
                <w:color w:val="FF0000"/>
                <w:sz w:val="18"/>
                <w:szCs w:val="18"/>
                <w:lang w:val="en-AU"/>
              </w:rPr>
              <w:t xml:space="preserve">arrest </w:t>
            </w:r>
          </w:p>
          <w:p w14:paraId="378F5EDF" w14:textId="77777777" w:rsidR="00FF49A8" w:rsidRDefault="00FF49A8" w:rsidP="004D2245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Respiratory arrest </w:t>
            </w:r>
          </w:p>
          <w:p w14:paraId="06A0C652" w14:textId="77777777" w:rsidR="00DB54F2" w:rsidRDefault="00FF49A8" w:rsidP="004D2245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I</w:t>
            </w:r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mmediate risk to airway – impending arrest</w:t>
            </w:r>
          </w:p>
          <w:p w14:paraId="79C0FFEF" w14:textId="6C482841" w:rsidR="00FF49A8" w:rsidRPr="00FF49A8" w:rsidRDefault="00FF49A8" w:rsidP="004D2245">
            <w:pPr>
              <w:contextualSpacing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Undifferentiated Major Trauma </w:t>
            </w:r>
          </w:p>
        </w:tc>
      </w:tr>
      <w:tr w:rsidR="00E161E1" w:rsidRPr="00FF49A8" w14:paraId="56C05485" w14:textId="7C276124" w:rsidTr="00C34F44">
        <w:tc>
          <w:tcPr>
            <w:tcW w:w="885" w:type="dxa"/>
          </w:tcPr>
          <w:p w14:paraId="3120E1F9" w14:textId="77777777" w:rsidR="00DB54F2" w:rsidRPr="00FF49A8" w:rsidRDefault="00DB54F2" w:rsidP="004D2245">
            <w:pPr>
              <w:contextualSpacing/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</w:p>
          <w:p w14:paraId="2CD9DD09" w14:textId="1305DE42" w:rsidR="00E161E1" w:rsidRPr="00FF49A8" w:rsidRDefault="00FF49A8" w:rsidP="004D2245">
            <w:pPr>
              <w:contextualSpacing/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  <w:r w:rsidRPr="00FF49A8"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  <w:t>2</w:t>
            </w:r>
          </w:p>
          <w:p w14:paraId="3D016807" w14:textId="77777777" w:rsidR="00E161E1" w:rsidRPr="00FF49A8" w:rsidRDefault="00E161E1" w:rsidP="004D2245">
            <w:pPr>
              <w:contextualSpacing/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</w:p>
          <w:p w14:paraId="1274314C" w14:textId="77777777" w:rsidR="00DB54F2" w:rsidRPr="00FF49A8" w:rsidRDefault="00DB54F2" w:rsidP="004D2245">
            <w:pPr>
              <w:contextualSpacing/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0E93E117" w14:textId="49E19745" w:rsidR="00DB54F2" w:rsidRPr="00FF49A8" w:rsidRDefault="00FF49A8" w:rsidP="004D2245">
            <w:pPr>
              <w:contextualSpacing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FF49A8">
              <w:rPr>
                <w:rFonts w:asciiTheme="majorHAnsi" w:hAnsiTheme="majorHAnsi" w:cs="Arial"/>
                <w:color w:val="FF0000"/>
                <w:sz w:val="18"/>
                <w:szCs w:val="18"/>
              </w:rPr>
              <w:t>Within 10 minutes</w:t>
            </w:r>
          </w:p>
        </w:tc>
        <w:tc>
          <w:tcPr>
            <w:tcW w:w="3118" w:type="dxa"/>
          </w:tcPr>
          <w:p w14:paraId="273D497D" w14:textId="7623D47D" w:rsidR="00FF49A8" w:rsidRPr="00FF49A8" w:rsidRDefault="00FF49A8" w:rsidP="004D2245">
            <w:pPr>
              <w:contextualSpacing/>
              <w:rPr>
                <w:rFonts w:asciiTheme="majorHAnsi" w:eastAsia="Times New Roman" w:hAnsiTheme="majorHAnsi" w:cs="Times New Roman"/>
                <w:color w:val="FF0000"/>
                <w:sz w:val="18"/>
                <w:szCs w:val="18"/>
                <w:lang w:val="en-AU"/>
              </w:rPr>
            </w:pPr>
            <w:r w:rsidRPr="00FF49A8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  <w:lang w:val="en-AU"/>
              </w:rPr>
              <w:t>Imminently Life-Threatening</w:t>
            </w:r>
            <w:r w:rsidRPr="00FF49A8">
              <w:rPr>
                <w:rFonts w:asciiTheme="majorHAnsi" w:eastAsia="Times New Roman" w:hAnsiTheme="majorHAnsi" w:cs="Times New Roman"/>
                <w:color w:val="FF0000"/>
                <w:sz w:val="18"/>
                <w:szCs w:val="18"/>
                <w:lang w:val="en-AU"/>
              </w:rPr>
              <w:t xml:space="preserve"> </w:t>
            </w:r>
          </w:p>
          <w:p w14:paraId="4FE05E26" w14:textId="68A238DB" w:rsidR="00FF49A8" w:rsidRDefault="00FF49A8" w:rsidP="004D2245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The potential for time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-</w:t>
            </w:r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critical treatment (e.g. thrombolysis, antidote) to make a significant effect on clinical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outcome</w:t>
            </w:r>
          </w:p>
          <w:p w14:paraId="2EBE7A2F" w14:textId="77777777" w:rsidR="00FF49A8" w:rsidRDefault="00FF49A8" w:rsidP="004D2245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</w:p>
          <w:p w14:paraId="5A2EF6D6" w14:textId="40B30473" w:rsidR="00DB54F2" w:rsidRPr="00FF49A8" w:rsidRDefault="00FF49A8" w:rsidP="004D2245">
            <w:pPr>
              <w:contextualSpacing/>
              <w:rPr>
                <w:rFonts w:asciiTheme="majorHAnsi" w:hAnsiTheme="majorHAnsi" w:cs="Arial"/>
                <w:sz w:val="18"/>
                <w:szCs w:val="18"/>
              </w:rPr>
            </w:pPr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Very severe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pain</w:t>
            </w:r>
          </w:p>
        </w:tc>
        <w:tc>
          <w:tcPr>
            <w:tcW w:w="5387" w:type="dxa"/>
          </w:tcPr>
          <w:p w14:paraId="579BAE3A" w14:textId="77777777" w:rsidR="00FF49A8" w:rsidRDefault="00FF49A8" w:rsidP="004D2245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Airway risk – severe stridor or drooling with distress </w:t>
            </w:r>
          </w:p>
          <w:p w14:paraId="29771DDC" w14:textId="75207546" w:rsidR="00FF49A8" w:rsidRDefault="00FF49A8" w:rsidP="004D2245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Undifferentiated chest pain</w:t>
            </w:r>
          </w:p>
          <w:p w14:paraId="32EAD162" w14:textId="77777777" w:rsidR="00FF49A8" w:rsidRDefault="00FF49A8" w:rsidP="004D2245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Severe respiratory distress </w:t>
            </w:r>
          </w:p>
          <w:p w14:paraId="5CEDDA6D" w14:textId="77777777" w:rsidR="00FF49A8" w:rsidRDefault="00FF49A8" w:rsidP="004D2245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Circulatory compromise </w:t>
            </w:r>
          </w:p>
          <w:p w14:paraId="02386249" w14:textId="77777777" w:rsidR="00FF49A8" w:rsidRDefault="00FF49A8" w:rsidP="004D2245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Very severe pain - any cause </w:t>
            </w:r>
          </w:p>
          <w:p w14:paraId="6E9AB3D7" w14:textId="77777777" w:rsidR="00FF49A8" w:rsidRDefault="00FF49A8" w:rsidP="004D2245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BSL &lt; 3 </w:t>
            </w:r>
            <w:proofErr w:type="spellStart"/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mmol</w:t>
            </w:r>
            <w:proofErr w:type="spellEnd"/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/l </w:t>
            </w:r>
          </w:p>
          <w:p w14:paraId="47407BD0" w14:textId="77777777" w:rsidR="00FF49A8" w:rsidRDefault="00FF49A8" w:rsidP="004D2245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Drowsy, decreased responsiveness any cause (GCS&lt; 13) </w:t>
            </w:r>
          </w:p>
          <w:p w14:paraId="0DC6A2E2" w14:textId="1A447365" w:rsidR="00DB54F2" w:rsidRPr="00FF49A8" w:rsidRDefault="00FF49A8" w:rsidP="004D2245">
            <w:pPr>
              <w:contextualSpacing/>
              <w:rPr>
                <w:rFonts w:asciiTheme="majorHAnsi" w:hAnsiTheme="majorHAnsi" w:cs="Arial"/>
                <w:sz w:val="18"/>
                <w:szCs w:val="18"/>
              </w:rPr>
            </w:pPr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Acute hemiparesis/dysphasia Behavioural/Psychiatric: - violent or aggressive - immediate threat to self or others </w:t>
            </w:r>
          </w:p>
        </w:tc>
      </w:tr>
      <w:tr w:rsidR="00E161E1" w:rsidRPr="00FF49A8" w14:paraId="0DC62838" w14:textId="186374DF" w:rsidTr="00C34F44">
        <w:tc>
          <w:tcPr>
            <w:tcW w:w="885" w:type="dxa"/>
          </w:tcPr>
          <w:p w14:paraId="5589D889" w14:textId="0FD71D45" w:rsidR="00DB54F2" w:rsidRPr="00FF49A8" w:rsidRDefault="00FF49A8" w:rsidP="004D2245">
            <w:pPr>
              <w:contextualSpacing/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  <w:r w:rsidRPr="00FF49A8"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  <w:t>3</w:t>
            </w:r>
          </w:p>
          <w:p w14:paraId="7A00B280" w14:textId="77777777" w:rsidR="00DB54F2" w:rsidRPr="00FF49A8" w:rsidRDefault="00DB54F2" w:rsidP="004D2245">
            <w:pPr>
              <w:contextualSpacing/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</w:p>
          <w:p w14:paraId="07CCD02A" w14:textId="77777777" w:rsidR="00E161E1" w:rsidRPr="00FF49A8" w:rsidRDefault="00E161E1" w:rsidP="004D2245">
            <w:pPr>
              <w:contextualSpacing/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</w:p>
          <w:p w14:paraId="2B7757EC" w14:textId="77777777" w:rsidR="00E161E1" w:rsidRPr="00FF49A8" w:rsidRDefault="00E161E1" w:rsidP="004D2245">
            <w:pPr>
              <w:contextualSpacing/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1C74B7E7" w14:textId="0D3CC7B7" w:rsidR="00DB54F2" w:rsidRPr="00FF49A8" w:rsidRDefault="00FF49A8" w:rsidP="004D2245">
            <w:pPr>
              <w:contextualSpacing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FF49A8">
              <w:rPr>
                <w:rFonts w:asciiTheme="majorHAnsi" w:hAnsiTheme="majorHAnsi" w:cs="Arial"/>
                <w:color w:val="FF0000"/>
                <w:sz w:val="18"/>
                <w:szCs w:val="18"/>
              </w:rPr>
              <w:t>Within 30 minutes</w:t>
            </w:r>
          </w:p>
        </w:tc>
        <w:tc>
          <w:tcPr>
            <w:tcW w:w="3118" w:type="dxa"/>
          </w:tcPr>
          <w:p w14:paraId="0E0BF01A" w14:textId="77777777" w:rsidR="00FF49A8" w:rsidRPr="00FF49A8" w:rsidRDefault="00FF49A8" w:rsidP="004D2245">
            <w:pPr>
              <w:contextualSpacing/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  <w:lang w:val="en-AU"/>
              </w:rPr>
            </w:pPr>
            <w:r w:rsidRPr="00FF49A8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  <w:lang w:val="en-AU"/>
              </w:rPr>
              <w:t xml:space="preserve">Potentially Life-Threatening </w:t>
            </w:r>
          </w:p>
          <w:p w14:paraId="55D638A6" w14:textId="77777777" w:rsidR="00FF49A8" w:rsidRDefault="00FF49A8" w:rsidP="004D2245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The patient's condition may progress to life or limb threatening, or may lead to significant morbidity, if assessment and treatment are not commenced wit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hin thirty minutes of arrival </w:t>
            </w:r>
          </w:p>
          <w:p w14:paraId="2DA04C26" w14:textId="77777777" w:rsidR="00FF49A8" w:rsidRDefault="00FF49A8" w:rsidP="004D2245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</w:p>
          <w:p w14:paraId="44BFD11D" w14:textId="54565D14" w:rsidR="00DB54F2" w:rsidRPr="00FF49A8" w:rsidRDefault="00FF49A8" w:rsidP="004D2245">
            <w:pPr>
              <w:contextualSpacing/>
              <w:rPr>
                <w:rFonts w:asciiTheme="majorHAnsi" w:hAnsiTheme="majorHAnsi" w:cs="Arial"/>
                <w:sz w:val="18"/>
                <w:szCs w:val="18"/>
              </w:rPr>
            </w:pPr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Situational Urgency </w:t>
            </w:r>
          </w:p>
        </w:tc>
        <w:tc>
          <w:tcPr>
            <w:tcW w:w="5387" w:type="dxa"/>
          </w:tcPr>
          <w:p w14:paraId="7996234B" w14:textId="77777777" w:rsidR="00FF49A8" w:rsidRDefault="00FF49A8" w:rsidP="004D2245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Severe hypertension </w:t>
            </w:r>
          </w:p>
          <w:p w14:paraId="2EC9BE10" w14:textId="77777777" w:rsidR="00FF49A8" w:rsidRDefault="00FF49A8" w:rsidP="004D2245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Moderately severe blood loss – any cause Moderate shortness of breath </w:t>
            </w:r>
          </w:p>
          <w:p w14:paraId="227C6BEE" w14:textId="77777777" w:rsidR="00FF49A8" w:rsidRDefault="00FF49A8" w:rsidP="004D2245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Seizure (now alert) </w:t>
            </w:r>
          </w:p>
          <w:p w14:paraId="627F89A8" w14:textId="77777777" w:rsidR="00FF49A8" w:rsidRDefault="00FF49A8" w:rsidP="004D2245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Head injury with short LOC- now alert </w:t>
            </w:r>
          </w:p>
          <w:p w14:paraId="3A874E67" w14:textId="11C1D6B3" w:rsidR="00DB54F2" w:rsidRPr="00FF49A8" w:rsidRDefault="00FF49A8" w:rsidP="004D2245">
            <w:pPr>
              <w:contextualSpacing/>
              <w:rPr>
                <w:rFonts w:asciiTheme="majorHAnsi" w:hAnsiTheme="majorHAnsi" w:cs="Arial"/>
                <w:sz w:val="18"/>
                <w:szCs w:val="18"/>
              </w:rPr>
            </w:pPr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Trauma - high-risk history with no other high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-</w:t>
            </w:r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risk features</w:t>
            </w:r>
          </w:p>
        </w:tc>
      </w:tr>
      <w:tr w:rsidR="00E161E1" w:rsidRPr="00FF49A8" w14:paraId="3FD6D19D" w14:textId="73D79284" w:rsidTr="00C34F44">
        <w:tc>
          <w:tcPr>
            <w:tcW w:w="885" w:type="dxa"/>
          </w:tcPr>
          <w:p w14:paraId="2444E543" w14:textId="77777777" w:rsidR="00DB54F2" w:rsidRPr="00FF49A8" w:rsidRDefault="00DB54F2" w:rsidP="004D2245">
            <w:pPr>
              <w:contextualSpacing/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</w:p>
          <w:p w14:paraId="575A91E1" w14:textId="601DC485" w:rsidR="00DB54F2" w:rsidRPr="00FF49A8" w:rsidRDefault="00FF49A8" w:rsidP="004D2245">
            <w:pPr>
              <w:contextualSpacing/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  <w:r w:rsidRPr="00FF49A8"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  <w:t>4</w:t>
            </w:r>
          </w:p>
          <w:p w14:paraId="489B4E89" w14:textId="77777777" w:rsidR="00E161E1" w:rsidRPr="00FF49A8" w:rsidRDefault="00E161E1" w:rsidP="004D2245">
            <w:pPr>
              <w:contextualSpacing/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</w:p>
          <w:p w14:paraId="0601A84A" w14:textId="77777777" w:rsidR="00E161E1" w:rsidRPr="00FF49A8" w:rsidRDefault="00E161E1" w:rsidP="004D2245">
            <w:pPr>
              <w:contextualSpacing/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08A1DE5A" w14:textId="248643DB" w:rsidR="00DB54F2" w:rsidRPr="00FF49A8" w:rsidRDefault="00FF49A8" w:rsidP="004D2245">
            <w:pPr>
              <w:contextualSpacing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FF49A8">
              <w:rPr>
                <w:rFonts w:asciiTheme="majorHAnsi" w:hAnsiTheme="majorHAnsi" w:cs="Arial"/>
                <w:color w:val="FF0000"/>
                <w:sz w:val="18"/>
                <w:szCs w:val="18"/>
              </w:rPr>
              <w:t>Within 60 minutes</w:t>
            </w:r>
          </w:p>
        </w:tc>
        <w:tc>
          <w:tcPr>
            <w:tcW w:w="3118" w:type="dxa"/>
          </w:tcPr>
          <w:p w14:paraId="103DB01F" w14:textId="5F3BD5BE" w:rsidR="00FF49A8" w:rsidRPr="00FF49A8" w:rsidRDefault="00FF49A8" w:rsidP="004D2245">
            <w:pPr>
              <w:contextualSpacing/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  <w:lang w:val="en-AU"/>
              </w:rPr>
            </w:pPr>
            <w:r w:rsidRPr="00FF49A8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  <w:lang w:val="en-AU"/>
              </w:rPr>
              <w:t xml:space="preserve">Potentially Serious </w:t>
            </w:r>
          </w:p>
          <w:p w14:paraId="79BD29C3" w14:textId="77777777" w:rsidR="00FF49A8" w:rsidRDefault="00FF49A8" w:rsidP="004D2245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</w:p>
          <w:p w14:paraId="7F6BE86E" w14:textId="77777777" w:rsidR="00FF49A8" w:rsidRDefault="00FF49A8" w:rsidP="004D2245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Significan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t complexity or s</w:t>
            </w:r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everity</w:t>
            </w:r>
          </w:p>
          <w:p w14:paraId="2554786F" w14:textId="77777777" w:rsidR="00FF49A8" w:rsidRDefault="00FF49A8" w:rsidP="004D2245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</w:p>
          <w:p w14:paraId="44DBD067" w14:textId="03033245" w:rsidR="00DB54F2" w:rsidRPr="00FF49A8" w:rsidRDefault="00FF49A8" w:rsidP="004D2245">
            <w:pPr>
              <w:contextualSpacing/>
              <w:rPr>
                <w:rFonts w:asciiTheme="majorHAnsi" w:hAnsiTheme="majorHAnsi" w:cs="Arial"/>
                <w:sz w:val="18"/>
                <w:szCs w:val="18"/>
              </w:rPr>
            </w:pPr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Likely to require complex work-up and consultation and/or inpatient management</w:t>
            </w:r>
          </w:p>
        </w:tc>
        <w:tc>
          <w:tcPr>
            <w:tcW w:w="5387" w:type="dxa"/>
          </w:tcPr>
          <w:p w14:paraId="79309FCE" w14:textId="77777777" w:rsidR="00FF49A8" w:rsidRPr="00FF49A8" w:rsidRDefault="00FF49A8" w:rsidP="004D2245">
            <w:pPr>
              <w:contextualSpacing/>
              <w:rPr>
                <w:rFonts w:asciiTheme="majorHAnsi" w:hAnsiTheme="majorHAnsi" w:cs="Arial"/>
                <w:sz w:val="18"/>
                <w:szCs w:val="18"/>
              </w:rPr>
            </w:pPr>
            <w:r w:rsidRPr="00FF49A8">
              <w:rPr>
                <w:rFonts w:asciiTheme="majorHAnsi" w:hAnsiTheme="majorHAnsi" w:cs="Arial"/>
                <w:sz w:val="18"/>
                <w:szCs w:val="18"/>
              </w:rPr>
              <w:t xml:space="preserve">Vomiting or </w:t>
            </w:r>
            <w:proofErr w:type="spellStart"/>
            <w:r w:rsidRPr="00FF49A8">
              <w:rPr>
                <w:rFonts w:asciiTheme="majorHAnsi" w:hAnsiTheme="majorHAnsi" w:cs="Arial"/>
                <w:sz w:val="18"/>
                <w:szCs w:val="18"/>
              </w:rPr>
              <w:t>diarrhoea</w:t>
            </w:r>
            <w:proofErr w:type="spellEnd"/>
            <w:r w:rsidRPr="00FF49A8">
              <w:rPr>
                <w:rFonts w:asciiTheme="majorHAnsi" w:hAnsiTheme="majorHAnsi" w:cs="Arial"/>
                <w:sz w:val="18"/>
                <w:szCs w:val="18"/>
              </w:rPr>
              <w:t xml:space="preserve"> without dehydration</w:t>
            </w:r>
          </w:p>
          <w:p w14:paraId="596F8916" w14:textId="77777777" w:rsidR="00FF49A8" w:rsidRPr="00FF49A8" w:rsidRDefault="00FF49A8" w:rsidP="004D2245">
            <w:pPr>
              <w:contextualSpacing/>
              <w:rPr>
                <w:rFonts w:asciiTheme="majorHAnsi" w:hAnsiTheme="majorHAnsi" w:cs="Arial"/>
                <w:sz w:val="18"/>
                <w:szCs w:val="18"/>
              </w:rPr>
            </w:pPr>
            <w:r w:rsidRPr="00FF49A8">
              <w:rPr>
                <w:rFonts w:asciiTheme="majorHAnsi" w:hAnsiTheme="majorHAnsi" w:cs="Arial"/>
                <w:sz w:val="18"/>
                <w:szCs w:val="18"/>
              </w:rPr>
              <w:t>Eye inflammation or foreign body – normal</w:t>
            </w:r>
          </w:p>
          <w:p w14:paraId="26EAF686" w14:textId="77777777" w:rsidR="00FF49A8" w:rsidRPr="00FF49A8" w:rsidRDefault="00FF49A8" w:rsidP="004D2245">
            <w:pPr>
              <w:contextualSpacing/>
              <w:rPr>
                <w:rFonts w:asciiTheme="majorHAnsi" w:hAnsiTheme="majorHAnsi" w:cs="Arial"/>
                <w:sz w:val="18"/>
                <w:szCs w:val="18"/>
              </w:rPr>
            </w:pPr>
            <w:proofErr w:type="gramStart"/>
            <w:r w:rsidRPr="00FF49A8">
              <w:rPr>
                <w:rFonts w:asciiTheme="majorHAnsi" w:hAnsiTheme="majorHAnsi" w:cs="Arial"/>
                <w:sz w:val="18"/>
                <w:szCs w:val="18"/>
              </w:rPr>
              <w:t>vision</w:t>
            </w:r>
            <w:proofErr w:type="gramEnd"/>
          </w:p>
          <w:p w14:paraId="1F002AE1" w14:textId="77777777" w:rsidR="00FF49A8" w:rsidRPr="00FF49A8" w:rsidRDefault="00FF49A8" w:rsidP="004D2245">
            <w:pPr>
              <w:contextualSpacing/>
              <w:rPr>
                <w:rFonts w:asciiTheme="majorHAnsi" w:hAnsiTheme="majorHAnsi" w:cs="Arial"/>
                <w:sz w:val="18"/>
                <w:szCs w:val="18"/>
              </w:rPr>
            </w:pPr>
            <w:r w:rsidRPr="00FF49A8">
              <w:rPr>
                <w:rFonts w:asciiTheme="majorHAnsi" w:hAnsiTheme="majorHAnsi" w:cs="Arial"/>
                <w:sz w:val="18"/>
                <w:szCs w:val="18"/>
              </w:rPr>
              <w:t>Minor limb trauma – sprained ankle, possible</w:t>
            </w:r>
          </w:p>
          <w:p w14:paraId="301CCEA3" w14:textId="15F2E77C" w:rsidR="00DB54F2" w:rsidRPr="00FF49A8" w:rsidRDefault="00FF49A8" w:rsidP="004D2245">
            <w:pPr>
              <w:contextualSpacing/>
              <w:rPr>
                <w:rFonts w:asciiTheme="majorHAnsi" w:hAnsiTheme="majorHAnsi" w:cs="Arial"/>
                <w:sz w:val="18"/>
                <w:szCs w:val="18"/>
              </w:rPr>
            </w:pPr>
            <w:proofErr w:type="gramStart"/>
            <w:r w:rsidRPr="00FF49A8">
              <w:rPr>
                <w:rFonts w:asciiTheme="majorHAnsi" w:hAnsiTheme="majorHAnsi" w:cs="Arial"/>
                <w:sz w:val="18"/>
                <w:szCs w:val="18"/>
              </w:rPr>
              <w:t>fracture</w:t>
            </w:r>
            <w:proofErr w:type="gramEnd"/>
            <w:r w:rsidRPr="00FF49A8">
              <w:rPr>
                <w:rFonts w:asciiTheme="majorHAnsi" w:hAnsiTheme="majorHAnsi" w:cs="Arial"/>
                <w:sz w:val="18"/>
                <w:szCs w:val="18"/>
              </w:rPr>
              <w:t xml:space="preserve">, uncomplicated laceration </w:t>
            </w:r>
          </w:p>
        </w:tc>
      </w:tr>
      <w:tr w:rsidR="00E161E1" w:rsidRPr="00FF49A8" w14:paraId="054F6BF2" w14:textId="5C300048" w:rsidTr="00C34F44">
        <w:tc>
          <w:tcPr>
            <w:tcW w:w="885" w:type="dxa"/>
          </w:tcPr>
          <w:p w14:paraId="021C0346" w14:textId="3EC80FD2" w:rsidR="00DB54F2" w:rsidRPr="00FF49A8" w:rsidRDefault="00FF49A8" w:rsidP="004D2245">
            <w:pPr>
              <w:contextualSpacing/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  <w:r w:rsidRPr="00FF49A8"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  <w:t>5</w:t>
            </w:r>
          </w:p>
          <w:p w14:paraId="0920C9E5" w14:textId="77777777" w:rsidR="00DB54F2" w:rsidRPr="00FF49A8" w:rsidRDefault="00DB54F2" w:rsidP="004D2245">
            <w:pPr>
              <w:contextualSpacing/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</w:p>
          <w:p w14:paraId="49EE0DCA" w14:textId="77777777" w:rsidR="00E161E1" w:rsidRPr="00FF49A8" w:rsidRDefault="00E161E1" w:rsidP="004D2245">
            <w:pPr>
              <w:contextualSpacing/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</w:p>
          <w:p w14:paraId="2F3457D7" w14:textId="77777777" w:rsidR="00E161E1" w:rsidRPr="00FF49A8" w:rsidRDefault="00E161E1" w:rsidP="004D2245">
            <w:pPr>
              <w:contextualSpacing/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061AAADA" w14:textId="6FA8EE3A" w:rsidR="00DB54F2" w:rsidRPr="00FF49A8" w:rsidRDefault="00FF49A8" w:rsidP="004D2245">
            <w:pPr>
              <w:contextualSpacing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FF49A8">
              <w:rPr>
                <w:rFonts w:asciiTheme="majorHAnsi" w:hAnsiTheme="majorHAnsi" w:cs="Arial"/>
                <w:color w:val="FF0000"/>
                <w:sz w:val="18"/>
                <w:szCs w:val="18"/>
              </w:rPr>
              <w:t>Within 120 minutes</w:t>
            </w:r>
          </w:p>
        </w:tc>
        <w:tc>
          <w:tcPr>
            <w:tcW w:w="3118" w:type="dxa"/>
          </w:tcPr>
          <w:p w14:paraId="2CAC373E" w14:textId="77777777" w:rsidR="00FF49A8" w:rsidRPr="00FF49A8" w:rsidRDefault="00FF49A8" w:rsidP="004D2245">
            <w:pPr>
              <w:contextualSpacing/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  <w:lang w:val="en-AU"/>
              </w:rPr>
            </w:pPr>
            <w:r w:rsidRPr="00FF49A8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  <w:lang w:val="en-AU"/>
              </w:rPr>
              <w:t>Less Urgent</w:t>
            </w:r>
          </w:p>
          <w:p w14:paraId="6DFE66F8" w14:textId="77777777" w:rsidR="00FF49A8" w:rsidRDefault="00FF49A8" w:rsidP="004D2245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</w:p>
          <w:p w14:paraId="53C12470" w14:textId="77777777" w:rsidR="00FF49A8" w:rsidRDefault="00FF49A8" w:rsidP="004D2245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proofErr w:type="spellStart"/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Clinico</w:t>
            </w:r>
            <w:proofErr w:type="spellEnd"/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-administrative problems </w:t>
            </w:r>
          </w:p>
          <w:p w14:paraId="4D7BF378" w14:textId="339FCFB4" w:rsidR="00FF49A8" w:rsidRPr="00FF49A8" w:rsidRDefault="00FF49A8" w:rsidP="004D2245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Results review, medical certificates, prescriptions only</w:t>
            </w:r>
          </w:p>
          <w:p w14:paraId="48191535" w14:textId="77777777" w:rsidR="00DB54F2" w:rsidRPr="00FF49A8" w:rsidRDefault="00DB54F2" w:rsidP="004D2245">
            <w:pPr>
              <w:contextualSpacing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14:paraId="14EFFF44" w14:textId="77777777" w:rsidR="00FF49A8" w:rsidRDefault="00FF49A8" w:rsidP="004D2245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Minimal pain with no high risk features </w:t>
            </w:r>
          </w:p>
          <w:p w14:paraId="3853885E" w14:textId="77777777" w:rsidR="00FF49A8" w:rsidRDefault="00FF49A8" w:rsidP="004D2245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Low-risk history and now asymptomatic </w:t>
            </w:r>
          </w:p>
          <w:p w14:paraId="6E18BF79" w14:textId="77777777" w:rsidR="00FF49A8" w:rsidRDefault="00FF49A8" w:rsidP="004D2245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Minor symptoms of existing stable illness </w:t>
            </w:r>
          </w:p>
          <w:p w14:paraId="4BE7E754" w14:textId="77777777" w:rsidR="00FF49A8" w:rsidRDefault="00FF49A8" w:rsidP="004D2245">
            <w:pPr>
              <w:contextualSpacing/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</w:pPr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 xml:space="preserve">Minor wounds - small abrasions, minor lacerations (not requiring sutures) </w:t>
            </w:r>
          </w:p>
          <w:p w14:paraId="3887A56B" w14:textId="61C2A1CA" w:rsidR="00DB54F2" w:rsidRPr="00FF49A8" w:rsidRDefault="00FF49A8" w:rsidP="004D2245">
            <w:pPr>
              <w:contextualSpacing/>
              <w:rPr>
                <w:rFonts w:asciiTheme="majorHAnsi" w:hAnsiTheme="majorHAnsi" w:cs="Arial"/>
                <w:sz w:val="18"/>
                <w:szCs w:val="18"/>
              </w:rPr>
            </w:pPr>
            <w:r w:rsidRPr="00FF49A8">
              <w:rPr>
                <w:rFonts w:asciiTheme="majorHAnsi" w:eastAsia="Times New Roman" w:hAnsiTheme="majorHAnsi" w:cs="Times New Roman"/>
                <w:sz w:val="18"/>
                <w:szCs w:val="18"/>
                <w:lang w:val="en-AU"/>
              </w:rPr>
              <w:t>Scheduled revisit e.g. wound review, complex dressings</w:t>
            </w:r>
          </w:p>
        </w:tc>
      </w:tr>
    </w:tbl>
    <w:p w14:paraId="57E0B889" w14:textId="5EC82F47" w:rsidR="00107877" w:rsidRPr="004D2245" w:rsidRDefault="004D2245" w:rsidP="004D2245">
      <w:pPr>
        <w:pStyle w:val="ListParagraph"/>
        <w:ind w:left="11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*</w:t>
      </w:r>
      <w:r w:rsidR="00E161E1" w:rsidRPr="004D2245">
        <w:rPr>
          <w:rFonts w:asciiTheme="majorHAnsi" w:hAnsiTheme="majorHAnsi" w:cs="Arial"/>
          <w:sz w:val="18"/>
          <w:szCs w:val="18"/>
        </w:rPr>
        <w:t>Maximum waiting time for medical assessment and Rx</w:t>
      </w:r>
    </w:p>
    <w:p w14:paraId="45CB1820" w14:textId="77777777" w:rsidR="004D2245" w:rsidRPr="004D2245" w:rsidRDefault="004D2245" w:rsidP="004D2245">
      <w:pPr>
        <w:pStyle w:val="ListParagraph"/>
        <w:ind w:left="11"/>
        <w:rPr>
          <w:rFonts w:asciiTheme="majorHAnsi" w:hAnsiTheme="majorHAnsi" w:cs="Arial"/>
          <w:sz w:val="18"/>
          <w:szCs w:val="18"/>
        </w:rPr>
      </w:pPr>
    </w:p>
    <w:p w14:paraId="26DEDA5B" w14:textId="23F09D2D" w:rsidR="00AE3735" w:rsidRPr="00E161E1" w:rsidRDefault="00E161E1" w:rsidP="004D2245">
      <w:pPr>
        <w:ind w:left="-709"/>
        <w:contextualSpacing/>
        <w:rPr>
          <w:rFonts w:asciiTheme="majorHAnsi" w:hAnsiTheme="majorHAnsi"/>
          <w:b/>
          <w:sz w:val="20"/>
          <w:szCs w:val="20"/>
        </w:rPr>
      </w:pPr>
      <w:r w:rsidRPr="00E161E1">
        <w:rPr>
          <w:rFonts w:asciiTheme="majorHAnsi" w:hAnsiTheme="majorHAnsi"/>
          <w:b/>
          <w:sz w:val="20"/>
          <w:szCs w:val="20"/>
        </w:rPr>
        <w:t xml:space="preserve">2. </w:t>
      </w:r>
      <w:r w:rsidR="00B00297">
        <w:rPr>
          <w:rFonts w:asciiTheme="majorHAnsi" w:hAnsiTheme="majorHAnsi"/>
          <w:b/>
          <w:sz w:val="20"/>
          <w:szCs w:val="20"/>
        </w:rPr>
        <w:t>List two administrative</w:t>
      </w:r>
      <w:r w:rsidRPr="00E161E1">
        <w:rPr>
          <w:rFonts w:asciiTheme="majorHAnsi" w:hAnsiTheme="majorHAnsi"/>
          <w:b/>
          <w:sz w:val="20"/>
          <w:szCs w:val="20"/>
        </w:rPr>
        <w:t xml:space="preserve"> function</w:t>
      </w:r>
      <w:r w:rsidR="00B00297">
        <w:rPr>
          <w:rFonts w:asciiTheme="majorHAnsi" w:hAnsiTheme="majorHAnsi"/>
          <w:b/>
          <w:sz w:val="20"/>
          <w:szCs w:val="20"/>
        </w:rPr>
        <w:t>s</w:t>
      </w:r>
      <w:r w:rsidRPr="00E161E1">
        <w:rPr>
          <w:rFonts w:asciiTheme="majorHAnsi" w:hAnsiTheme="majorHAnsi"/>
          <w:b/>
          <w:sz w:val="20"/>
          <w:szCs w:val="20"/>
        </w:rPr>
        <w:t xml:space="preserve"> of </w:t>
      </w:r>
      <w:r w:rsidR="00B00297">
        <w:rPr>
          <w:rFonts w:asciiTheme="majorHAnsi" w:hAnsiTheme="majorHAnsi"/>
          <w:b/>
          <w:sz w:val="20"/>
          <w:szCs w:val="20"/>
        </w:rPr>
        <w:t>the ATS.</w:t>
      </w:r>
      <w:r w:rsidRPr="00E161E1">
        <w:rPr>
          <w:rFonts w:asciiTheme="majorHAnsi" w:hAnsiTheme="majorHAnsi"/>
          <w:b/>
          <w:sz w:val="20"/>
          <w:szCs w:val="20"/>
        </w:rPr>
        <w:t xml:space="preserve"> </w:t>
      </w:r>
      <w:r w:rsidR="00B00297">
        <w:rPr>
          <w:rFonts w:asciiTheme="majorHAnsi" w:hAnsiTheme="majorHAnsi"/>
          <w:b/>
          <w:sz w:val="20"/>
          <w:szCs w:val="20"/>
        </w:rPr>
        <w:t>For each, provide one example of how it’s used for that purpose.</w:t>
      </w:r>
    </w:p>
    <w:p w14:paraId="0F813483" w14:textId="3A32A5A5" w:rsidR="009B39B2" w:rsidRPr="004D2245" w:rsidRDefault="00B00297" w:rsidP="004D2245">
      <w:pPr>
        <w:ind w:left="-709"/>
        <w:contextualSpacing/>
        <w:rPr>
          <w:rFonts w:asciiTheme="majorHAnsi" w:hAnsiTheme="majorHAnsi"/>
          <w:i/>
          <w:sz w:val="20"/>
          <w:szCs w:val="20"/>
          <w:u w:val="single"/>
        </w:rPr>
      </w:pPr>
      <w:r w:rsidRPr="00B00297">
        <w:rPr>
          <w:rFonts w:asciiTheme="majorHAnsi" w:hAnsiTheme="majorHAnsi"/>
          <w:b/>
          <w:sz w:val="20"/>
          <w:szCs w:val="20"/>
        </w:rPr>
        <w:t>a.</w:t>
      </w:r>
      <w:r w:rsidR="00C34F44">
        <w:rPr>
          <w:rFonts w:asciiTheme="majorHAnsi" w:hAnsiTheme="majorHAnsi"/>
          <w:b/>
          <w:sz w:val="20"/>
          <w:szCs w:val="20"/>
        </w:rPr>
        <w:t xml:space="preserve"> </w:t>
      </w:r>
      <w:r w:rsidR="00C34F44" w:rsidRPr="004D2245">
        <w:rPr>
          <w:rFonts w:asciiTheme="majorHAnsi" w:hAnsiTheme="majorHAnsi"/>
          <w:color w:val="FF0000"/>
          <w:sz w:val="20"/>
          <w:szCs w:val="20"/>
          <w:u w:val="single"/>
        </w:rPr>
        <w:t>Measure of Access and Activity</w:t>
      </w:r>
      <w:r w:rsidR="004D2245" w:rsidRPr="004D2245">
        <w:rPr>
          <w:rFonts w:asciiTheme="majorHAnsi" w:hAnsiTheme="majorHAnsi"/>
          <w:color w:val="FF0000"/>
          <w:sz w:val="20"/>
          <w:szCs w:val="20"/>
        </w:rPr>
        <w:t xml:space="preserve">  </w:t>
      </w:r>
      <w:r w:rsidR="004D2245">
        <w:rPr>
          <w:rFonts w:asciiTheme="majorHAnsi" w:hAnsiTheme="majorHAnsi"/>
          <w:color w:val="FF0000"/>
          <w:sz w:val="20"/>
          <w:szCs w:val="20"/>
        </w:rPr>
        <w:tab/>
      </w:r>
      <w:proofErr w:type="gramStart"/>
      <w:r w:rsidR="004D2245" w:rsidRPr="004D2245">
        <w:rPr>
          <w:rFonts w:asciiTheme="majorHAnsi" w:hAnsiTheme="majorHAnsi"/>
          <w:i/>
          <w:sz w:val="20"/>
          <w:szCs w:val="20"/>
        </w:rPr>
        <w:t>Something</w:t>
      </w:r>
      <w:proofErr w:type="gramEnd"/>
      <w:r w:rsidR="004D2245" w:rsidRPr="004D2245">
        <w:rPr>
          <w:rFonts w:asciiTheme="majorHAnsi" w:hAnsiTheme="majorHAnsi"/>
          <w:i/>
          <w:sz w:val="20"/>
          <w:szCs w:val="20"/>
        </w:rPr>
        <w:t xml:space="preserve"> about ability to meet waiting times needed.</w:t>
      </w:r>
    </w:p>
    <w:p w14:paraId="4003C85B" w14:textId="4AC50789" w:rsidR="00B00297" w:rsidRDefault="00C34F44" w:rsidP="004D2245">
      <w:pPr>
        <w:ind w:left="-709"/>
        <w:contextualSpacing/>
        <w:rPr>
          <w:rFonts w:asciiTheme="majorHAnsi" w:hAnsiTheme="majorHAnsi"/>
          <w:sz w:val="20"/>
          <w:szCs w:val="20"/>
        </w:rPr>
      </w:pPr>
      <w:r w:rsidRPr="00C34F44">
        <w:rPr>
          <w:rFonts w:asciiTheme="majorHAnsi" w:hAnsiTheme="majorHAnsi"/>
          <w:sz w:val="20"/>
          <w:szCs w:val="20"/>
        </w:rPr>
        <w:t>Performance indicator threshold</w:t>
      </w:r>
      <w:r>
        <w:rPr>
          <w:rFonts w:asciiTheme="majorHAnsi" w:hAnsiTheme="majorHAnsi"/>
          <w:sz w:val="20"/>
          <w:szCs w:val="20"/>
        </w:rPr>
        <w:t>s</w:t>
      </w:r>
      <w:r w:rsidRPr="00C34F44">
        <w:rPr>
          <w:rFonts w:asciiTheme="majorHAnsi" w:hAnsiTheme="majorHAnsi"/>
          <w:sz w:val="20"/>
          <w:szCs w:val="20"/>
        </w:rPr>
        <w:t xml:space="preserve"> specified by ACEM (see reference)</w:t>
      </w:r>
      <w:r>
        <w:rPr>
          <w:rFonts w:asciiTheme="majorHAnsi" w:hAnsiTheme="majorHAnsi"/>
          <w:sz w:val="20"/>
          <w:szCs w:val="20"/>
        </w:rPr>
        <w:t>, stipulating proportions of cases within categories that should meet waiting time target. These are: ATS 1 – 100%; ATS 2 – 80%; ATS 3 – 75%; ATS 4 and 5 – 70%. Failure to meet thresholds may indicate resource deficits.</w:t>
      </w:r>
      <w:r w:rsidR="004D2245">
        <w:rPr>
          <w:rFonts w:asciiTheme="majorHAnsi" w:hAnsiTheme="majorHAnsi"/>
          <w:sz w:val="20"/>
          <w:szCs w:val="20"/>
        </w:rPr>
        <w:t xml:space="preserve"> Average</w:t>
      </w:r>
      <w:bookmarkStart w:id="0" w:name="_GoBack"/>
      <w:bookmarkEnd w:id="0"/>
      <w:r w:rsidR="004D2245">
        <w:rPr>
          <w:rFonts w:asciiTheme="majorHAnsi" w:hAnsiTheme="majorHAnsi"/>
          <w:sz w:val="20"/>
          <w:szCs w:val="20"/>
        </w:rPr>
        <w:t xml:space="preserve"> waiting time in each category also an indicator.</w:t>
      </w:r>
    </w:p>
    <w:p w14:paraId="40CA8CE3" w14:textId="77777777" w:rsidR="004D2245" w:rsidRPr="00B00297" w:rsidRDefault="004D2245" w:rsidP="004D2245">
      <w:pPr>
        <w:ind w:left="-709"/>
        <w:contextualSpacing/>
        <w:rPr>
          <w:rFonts w:asciiTheme="majorHAnsi" w:hAnsiTheme="majorHAnsi"/>
          <w:b/>
          <w:sz w:val="20"/>
          <w:szCs w:val="20"/>
        </w:rPr>
      </w:pPr>
    </w:p>
    <w:p w14:paraId="21895F1F" w14:textId="3ACA3B77" w:rsidR="004D2245" w:rsidRPr="004D2245" w:rsidRDefault="00B00297" w:rsidP="004D2245">
      <w:pPr>
        <w:ind w:left="-709"/>
        <w:contextualSpacing/>
        <w:rPr>
          <w:rFonts w:asciiTheme="majorHAnsi" w:hAnsiTheme="majorHAnsi"/>
          <w:b/>
          <w:sz w:val="20"/>
          <w:szCs w:val="20"/>
        </w:rPr>
      </w:pPr>
      <w:r w:rsidRPr="00B00297">
        <w:rPr>
          <w:rFonts w:asciiTheme="majorHAnsi" w:hAnsiTheme="majorHAnsi"/>
          <w:b/>
          <w:sz w:val="20"/>
          <w:szCs w:val="20"/>
        </w:rPr>
        <w:t>b</w:t>
      </w:r>
      <w:r w:rsidRPr="004D2245">
        <w:rPr>
          <w:rFonts w:asciiTheme="majorHAnsi" w:hAnsiTheme="majorHAnsi"/>
          <w:b/>
          <w:color w:val="FF0000"/>
          <w:sz w:val="20"/>
          <w:szCs w:val="20"/>
        </w:rPr>
        <w:t>.</w:t>
      </w:r>
      <w:r w:rsidR="00C34F44" w:rsidRPr="004D2245">
        <w:rPr>
          <w:rFonts w:asciiTheme="majorHAnsi" w:hAnsiTheme="majorHAnsi"/>
          <w:b/>
          <w:color w:val="FF0000"/>
          <w:sz w:val="20"/>
          <w:szCs w:val="20"/>
        </w:rPr>
        <w:t xml:space="preserve"> </w:t>
      </w:r>
      <w:r w:rsidR="00C34F44" w:rsidRPr="004D2245">
        <w:rPr>
          <w:rFonts w:asciiTheme="majorHAnsi" w:hAnsiTheme="majorHAnsi"/>
          <w:color w:val="FF0000"/>
          <w:sz w:val="20"/>
          <w:szCs w:val="20"/>
          <w:u w:val="single"/>
        </w:rPr>
        <w:t>Quality Assurance</w:t>
      </w:r>
      <w:r w:rsidR="004D2245">
        <w:rPr>
          <w:rFonts w:asciiTheme="majorHAnsi" w:hAnsiTheme="majorHAnsi"/>
          <w:b/>
          <w:sz w:val="20"/>
          <w:szCs w:val="20"/>
        </w:rPr>
        <w:tab/>
      </w:r>
      <w:proofErr w:type="gramStart"/>
      <w:r w:rsidR="004D2245" w:rsidRPr="004D2245">
        <w:rPr>
          <w:rFonts w:asciiTheme="majorHAnsi" w:hAnsiTheme="majorHAnsi"/>
          <w:i/>
          <w:sz w:val="20"/>
          <w:szCs w:val="20"/>
        </w:rPr>
        <w:t>Any</w:t>
      </w:r>
      <w:proofErr w:type="gramEnd"/>
      <w:r w:rsidR="004D2245" w:rsidRPr="004D2245">
        <w:rPr>
          <w:rFonts w:asciiTheme="majorHAnsi" w:hAnsiTheme="majorHAnsi"/>
          <w:i/>
          <w:sz w:val="20"/>
          <w:szCs w:val="20"/>
        </w:rPr>
        <w:t xml:space="preserve"> one of the following will score 2.5:</w:t>
      </w:r>
    </w:p>
    <w:p w14:paraId="7EB816C7" w14:textId="2E12ED6C" w:rsidR="00C34F44" w:rsidRDefault="004D2245" w:rsidP="004D2245">
      <w:pPr>
        <w:ind w:left="-709"/>
        <w:contextualSpacing/>
        <w:rPr>
          <w:rFonts w:asciiTheme="majorHAnsi" w:hAnsiTheme="majorHAnsi"/>
          <w:sz w:val="20"/>
          <w:szCs w:val="20"/>
        </w:rPr>
      </w:pPr>
      <w:r w:rsidRPr="004D2245">
        <w:rPr>
          <w:rFonts w:asciiTheme="majorHAnsi" w:hAnsiTheme="majorHAnsi"/>
          <w:sz w:val="20"/>
          <w:szCs w:val="20"/>
        </w:rPr>
        <w:t>Benchmarking against like hospitals, determining admission rate per category, accuracy or validation of triage allocation, utility for staff training / credentialing, workforce management.</w:t>
      </w:r>
    </w:p>
    <w:p w14:paraId="74AB03F5" w14:textId="259E2A8C" w:rsidR="004D2245" w:rsidRDefault="004D2245" w:rsidP="004D2245">
      <w:pPr>
        <w:ind w:left="-709"/>
        <w:contextualSpacing/>
        <w:rPr>
          <w:rFonts w:asciiTheme="majorHAnsi" w:hAnsiTheme="majorHAnsi"/>
          <w:sz w:val="20"/>
          <w:szCs w:val="20"/>
        </w:rPr>
      </w:pPr>
    </w:p>
    <w:p w14:paraId="575A0DCF" w14:textId="389E8AC7" w:rsidR="004D2245" w:rsidRDefault="004D2245" w:rsidP="004D2245">
      <w:pPr>
        <w:ind w:left="-709"/>
        <w:contextualSpacing/>
        <w:rPr>
          <w:rFonts w:asciiTheme="majorHAnsi" w:hAnsiTheme="majorHAnsi"/>
          <w:i/>
          <w:sz w:val="20"/>
          <w:szCs w:val="20"/>
        </w:rPr>
      </w:pPr>
      <w:r w:rsidRPr="004D2245">
        <w:rPr>
          <w:rFonts w:asciiTheme="majorHAnsi" w:hAnsiTheme="majorHAnsi"/>
          <w:i/>
          <w:sz w:val="20"/>
          <w:szCs w:val="20"/>
        </w:rPr>
        <w:t xml:space="preserve">2.5 </w:t>
      </w:r>
      <w:proofErr w:type="gramStart"/>
      <w:r w:rsidRPr="004D2245">
        <w:rPr>
          <w:rFonts w:asciiTheme="majorHAnsi" w:hAnsiTheme="majorHAnsi"/>
          <w:i/>
          <w:sz w:val="20"/>
          <w:szCs w:val="20"/>
        </w:rPr>
        <w:t>marks</w:t>
      </w:r>
      <w:proofErr w:type="gramEnd"/>
      <w:r w:rsidRPr="004D2245">
        <w:rPr>
          <w:rFonts w:asciiTheme="majorHAnsi" w:hAnsiTheme="majorHAnsi"/>
          <w:i/>
          <w:sz w:val="20"/>
          <w:szCs w:val="20"/>
        </w:rPr>
        <w:t xml:space="preserve"> each. </w:t>
      </w:r>
      <w:proofErr w:type="gramStart"/>
      <w:r w:rsidRPr="004D2245">
        <w:rPr>
          <w:rFonts w:asciiTheme="majorHAnsi" w:hAnsiTheme="majorHAnsi"/>
          <w:i/>
          <w:sz w:val="20"/>
          <w:szCs w:val="20"/>
        </w:rPr>
        <w:t>5 marks in total.</w:t>
      </w:r>
      <w:proofErr w:type="gramEnd"/>
      <w:r w:rsidRPr="004D2245">
        <w:rPr>
          <w:rFonts w:asciiTheme="majorHAnsi" w:hAnsiTheme="majorHAnsi"/>
          <w:i/>
          <w:sz w:val="20"/>
          <w:szCs w:val="20"/>
        </w:rPr>
        <w:t xml:space="preserve"> Borderline mark is 2.5. Bits in red (or similar concepts) needed for borderline mark. Significant leeway granted in descriptors.</w:t>
      </w:r>
    </w:p>
    <w:p w14:paraId="13DDF9F6" w14:textId="77777777" w:rsidR="004D2245" w:rsidRPr="004D2245" w:rsidRDefault="004D2245" w:rsidP="004D2245">
      <w:pPr>
        <w:ind w:left="-709"/>
        <w:contextualSpacing/>
        <w:rPr>
          <w:rFonts w:asciiTheme="majorHAnsi" w:hAnsiTheme="majorHAnsi"/>
          <w:i/>
          <w:sz w:val="20"/>
          <w:szCs w:val="20"/>
        </w:rPr>
      </w:pPr>
    </w:p>
    <w:p w14:paraId="3FD2F907" w14:textId="14D38287" w:rsidR="004D2245" w:rsidRPr="004D2245" w:rsidRDefault="004D2245" w:rsidP="004D2245">
      <w:pPr>
        <w:ind w:left="-709"/>
        <w:contextualSpacing/>
        <w:rPr>
          <w:rFonts w:asciiTheme="majorHAnsi" w:hAnsiTheme="majorHAnsi"/>
          <w:b/>
          <w:i/>
          <w:sz w:val="20"/>
          <w:szCs w:val="20"/>
        </w:rPr>
      </w:pPr>
      <w:r w:rsidRPr="004D2245">
        <w:rPr>
          <w:rFonts w:asciiTheme="majorHAnsi" w:hAnsiTheme="majorHAnsi"/>
          <w:b/>
          <w:i/>
          <w:sz w:val="20"/>
          <w:szCs w:val="20"/>
        </w:rPr>
        <w:t>Overall borderline mark is 17.5 / 25.</w:t>
      </w:r>
    </w:p>
    <w:sectPr w:rsidR="004D2245" w:rsidRPr="004D2245" w:rsidSect="004D2245">
      <w:pgSz w:w="11900" w:h="16840"/>
      <w:pgMar w:top="426" w:right="112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7E2"/>
    <w:multiLevelType w:val="hybridMultilevel"/>
    <w:tmpl w:val="A13E4366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04C59F8"/>
    <w:multiLevelType w:val="hybridMultilevel"/>
    <w:tmpl w:val="A4CEFB6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EAC0749"/>
    <w:multiLevelType w:val="hybridMultilevel"/>
    <w:tmpl w:val="6E78937A"/>
    <w:lvl w:ilvl="0" w:tplc="75001D5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407461B2"/>
    <w:multiLevelType w:val="hybridMultilevel"/>
    <w:tmpl w:val="7620189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6FC77FBE"/>
    <w:multiLevelType w:val="hybridMultilevel"/>
    <w:tmpl w:val="E56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70537"/>
    <w:multiLevelType w:val="hybridMultilevel"/>
    <w:tmpl w:val="F852F7F6"/>
    <w:lvl w:ilvl="0" w:tplc="E74CE18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58"/>
    <w:rsid w:val="0004101B"/>
    <w:rsid w:val="00107877"/>
    <w:rsid w:val="003903AB"/>
    <w:rsid w:val="003C6158"/>
    <w:rsid w:val="003F4F5F"/>
    <w:rsid w:val="004B5F55"/>
    <w:rsid w:val="004D2245"/>
    <w:rsid w:val="00950BFD"/>
    <w:rsid w:val="00997014"/>
    <w:rsid w:val="009B39B2"/>
    <w:rsid w:val="00AA0A6E"/>
    <w:rsid w:val="00AE3735"/>
    <w:rsid w:val="00B00297"/>
    <w:rsid w:val="00B04627"/>
    <w:rsid w:val="00B83236"/>
    <w:rsid w:val="00C34F44"/>
    <w:rsid w:val="00DB54F2"/>
    <w:rsid w:val="00E161E1"/>
    <w:rsid w:val="00E9224E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AC4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B2"/>
    <w:pPr>
      <w:ind w:left="720"/>
      <w:contextualSpacing/>
    </w:pPr>
  </w:style>
  <w:style w:type="paragraph" w:customStyle="1" w:styleId="Default">
    <w:name w:val="Default"/>
    <w:rsid w:val="0010787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DB5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4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B2"/>
    <w:pPr>
      <w:ind w:left="720"/>
      <w:contextualSpacing/>
    </w:pPr>
  </w:style>
  <w:style w:type="paragraph" w:customStyle="1" w:styleId="Default">
    <w:name w:val="Default"/>
    <w:rsid w:val="0010787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DB5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4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acem.org.au/getattachment/d19d5ad3-e1f4-4e4f-bf83-7e09cae27d76/G24-Implementation-of-the-Australasian-Triage-Scal.aspx" TargetMode="External"/><Relationship Id="rId7" Type="http://schemas.openxmlformats.org/officeDocument/2006/relationships/hyperlink" Target="https://www.acem.org.au/getattachment/693998d7-94be-4ca7-a0e7-3d74cc9b733f/Policy-on-the-Australasian-Triage-Scale.asp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598</Words>
  <Characters>3409</Characters>
  <Application>Microsoft Macintosh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Liew</dc:creator>
  <cp:keywords/>
  <dc:description/>
  <cp:lastModifiedBy>Don Liew</cp:lastModifiedBy>
  <cp:revision>3</cp:revision>
  <dcterms:created xsi:type="dcterms:W3CDTF">2015-01-28T02:14:00Z</dcterms:created>
  <dcterms:modified xsi:type="dcterms:W3CDTF">2015-01-28T02:51:00Z</dcterms:modified>
</cp:coreProperties>
</file>